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1EC03" w14:textId="77777777" w:rsidR="003653C2" w:rsidRDefault="003653C2" w:rsidP="00CB0BFF">
      <w:pPr>
        <w:spacing w:after="0" w:line="480" w:lineRule="auto"/>
        <w:jc w:val="center"/>
      </w:pPr>
    </w:p>
    <w:p w14:paraId="3BB77B40" w14:textId="77777777" w:rsidR="003653C2" w:rsidRDefault="003653C2" w:rsidP="00CB0BFF">
      <w:pPr>
        <w:spacing w:after="0" w:line="480" w:lineRule="auto"/>
        <w:jc w:val="center"/>
      </w:pPr>
    </w:p>
    <w:p w14:paraId="630D18D9" w14:textId="77777777" w:rsidR="003653C2" w:rsidRDefault="003653C2" w:rsidP="00CB0BFF">
      <w:pPr>
        <w:spacing w:after="0" w:line="480" w:lineRule="auto"/>
        <w:jc w:val="center"/>
      </w:pPr>
    </w:p>
    <w:p w14:paraId="10366368" w14:textId="77777777" w:rsidR="003653C2" w:rsidRDefault="003653C2" w:rsidP="00CB0BFF">
      <w:pPr>
        <w:spacing w:after="0" w:line="480" w:lineRule="auto"/>
        <w:jc w:val="center"/>
      </w:pPr>
    </w:p>
    <w:p w14:paraId="267E27AD" w14:textId="47814B75" w:rsidR="003653C2" w:rsidRDefault="003653C2" w:rsidP="00CB0BFF">
      <w:pPr>
        <w:spacing w:after="0" w:line="480" w:lineRule="auto"/>
        <w:jc w:val="center"/>
      </w:pPr>
      <w:r>
        <w:t>EGM6611: Continuum Mechanics Final Paper</w:t>
      </w:r>
    </w:p>
    <w:p w14:paraId="069DD29E" w14:textId="77777777" w:rsidR="003653C2" w:rsidRDefault="003653C2" w:rsidP="00CB0BFF">
      <w:pPr>
        <w:spacing w:after="0" w:line="480" w:lineRule="auto"/>
        <w:jc w:val="center"/>
      </w:pPr>
    </w:p>
    <w:p w14:paraId="1E34EA43" w14:textId="3ECF01A0" w:rsidR="00CB0BFF" w:rsidRDefault="00CB0BFF" w:rsidP="00CB0BFF">
      <w:pPr>
        <w:spacing w:after="0" w:line="480" w:lineRule="auto"/>
        <w:jc w:val="center"/>
      </w:pPr>
      <w:r>
        <w:t>Characterizing the Mechanical Response of Human Skin</w:t>
      </w:r>
    </w:p>
    <w:p w14:paraId="26E5DC3F" w14:textId="5D3E1ED6" w:rsidR="00CB0BFF" w:rsidRDefault="00CB0BFF" w:rsidP="00CB0BFF">
      <w:pPr>
        <w:spacing w:after="0" w:line="480" w:lineRule="auto"/>
        <w:jc w:val="center"/>
      </w:pPr>
      <w:r>
        <w:t>Using the Ogden Hyperelastic Material Model</w:t>
      </w:r>
    </w:p>
    <w:p w14:paraId="1AA3A2E5" w14:textId="77777777" w:rsidR="00CB0BFF" w:rsidRDefault="00CB0BFF" w:rsidP="00CB0BFF">
      <w:pPr>
        <w:spacing w:after="0" w:line="480" w:lineRule="auto"/>
        <w:jc w:val="center"/>
      </w:pPr>
    </w:p>
    <w:p w14:paraId="375D3D79" w14:textId="77777777" w:rsidR="00CB0BFF" w:rsidRDefault="00CB0BFF" w:rsidP="00CB0BFF">
      <w:pPr>
        <w:spacing w:after="0" w:line="480" w:lineRule="auto"/>
        <w:jc w:val="center"/>
      </w:pPr>
    </w:p>
    <w:p w14:paraId="2A3D0F5E" w14:textId="77777777" w:rsidR="003653C2" w:rsidRDefault="003653C2" w:rsidP="00CB0BFF">
      <w:pPr>
        <w:spacing w:after="0" w:line="480" w:lineRule="auto"/>
        <w:jc w:val="center"/>
      </w:pPr>
    </w:p>
    <w:p w14:paraId="5F855798" w14:textId="77777777" w:rsidR="003653C2" w:rsidRDefault="003653C2" w:rsidP="00CB0BFF">
      <w:pPr>
        <w:spacing w:after="0" w:line="480" w:lineRule="auto"/>
        <w:jc w:val="center"/>
      </w:pPr>
    </w:p>
    <w:p w14:paraId="1C346D37" w14:textId="77777777" w:rsidR="003653C2" w:rsidRDefault="003653C2" w:rsidP="00CB0BFF">
      <w:pPr>
        <w:spacing w:after="0" w:line="480" w:lineRule="auto"/>
        <w:jc w:val="center"/>
      </w:pPr>
    </w:p>
    <w:p w14:paraId="3E97A8D5" w14:textId="77777777" w:rsidR="003653C2" w:rsidRDefault="003653C2" w:rsidP="00CB0BFF">
      <w:pPr>
        <w:spacing w:after="0" w:line="480" w:lineRule="auto"/>
        <w:jc w:val="center"/>
      </w:pPr>
    </w:p>
    <w:p w14:paraId="15A8B863" w14:textId="77777777" w:rsidR="003653C2" w:rsidRDefault="003653C2" w:rsidP="00CB0BFF">
      <w:pPr>
        <w:spacing w:after="0" w:line="480" w:lineRule="auto"/>
        <w:jc w:val="center"/>
      </w:pPr>
    </w:p>
    <w:p w14:paraId="64DBD12D" w14:textId="77777777" w:rsidR="003653C2" w:rsidRDefault="003653C2" w:rsidP="00CB0BFF">
      <w:pPr>
        <w:spacing w:after="0" w:line="480" w:lineRule="auto"/>
        <w:jc w:val="center"/>
      </w:pPr>
    </w:p>
    <w:p w14:paraId="45EACE7A" w14:textId="77777777" w:rsidR="003653C2" w:rsidRDefault="003653C2" w:rsidP="00CB0BFF">
      <w:pPr>
        <w:spacing w:after="0" w:line="480" w:lineRule="auto"/>
        <w:jc w:val="center"/>
      </w:pPr>
    </w:p>
    <w:p w14:paraId="4196452D" w14:textId="77777777" w:rsidR="003653C2" w:rsidRDefault="003653C2" w:rsidP="00CB0BFF">
      <w:pPr>
        <w:spacing w:after="0" w:line="480" w:lineRule="auto"/>
        <w:jc w:val="center"/>
      </w:pPr>
    </w:p>
    <w:p w14:paraId="616506D6" w14:textId="6FA5AACC" w:rsidR="00CB0BFF" w:rsidRDefault="00CB0BFF" w:rsidP="00CB0BFF">
      <w:pPr>
        <w:spacing w:after="0" w:line="480" w:lineRule="auto"/>
        <w:jc w:val="center"/>
      </w:pPr>
      <w:r>
        <w:t>Jackson Sammartino</w:t>
      </w:r>
    </w:p>
    <w:p w14:paraId="68E94BEF" w14:textId="6EF56D5F" w:rsidR="00C16F98" w:rsidRDefault="00CB0BFF" w:rsidP="003653C2">
      <w:pPr>
        <w:spacing w:after="0" w:line="480" w:lineRule="auto"/>
        <w:jc w:val="center"/>
      </w:pPr>
      <w:r>
        <w:t>April 23, 202</w:t>
      </w:r>
      <w:r w:rsidR="003653C2">
        <w:t>5</w:t>
      </w:r>
    </w:p>
    <w:p w14:paraId="187BAAA3" w14:textId="77777777" w:rsidR="00A83F9F" w:rsidRDefault="00A83F9F" w:rsidP="00A83F9F">
      <w:pPr>
        <w:pStyle w:val="ListParagraph"/>
      </w:pPr>
    </w:p>
    <w:p w14:paraId="696D8307" w14:textId="5C1A5784" w:rsidR="00A83F9F" w:rsidRDefault="00A83F9F" w:rsidP="00A83F9F">
      <w:pPr>
        <w:pStyle w:val="ListParagraph"/>
      </w:pPr>
    </w:p>
    <w:p w14:paraId="7DDCFAFD" w14:textId="77777777" w:rsidR="00A83F9F" w:rsidRDefault="00A83F9F" w:rsidP="00A83F9F">
      <w:pPr>
        <w:pStyle w:val="ListParagraph"/>
      </w:pPr>
    </w:p>
    <w:p w14:paraId="05115C4F" w14:textId="77777777" w:rsidR="00A83F9F" w:rsidRDefault="00A83F9F" w:rsidP="00A83F9F">
      <w:pPr>
        <w:pStyle w:val="ListParagraph"/>
      </w:pPr>
    </w:p>
    <w:p w14:paraId="0599DE73" w14:textId="77777777" w:rsidR="00A83F9F" w:rsidRDefault="00A83F9F" w:rsidP="00A83F9F">
      <w:pPr>
        <w:pStyle w:val="ListParagraph"/>
      </w:pPr>
    </w:p>
    <w:p w14:paraId="050668BB" w14:textId="77777777" w:rsidR="00A83F9F" w:rsidRDefault="00A83F9F" w:rsidP="00A83F9F">
      <w:pPr>
        <w:pStyle w:val="ListParagraph"/>
      </w:pPr>
    </w:p>
    <w:p w14:paraId="38D47BCD" w14:textId="4197D032" w:rsidR="00A83F9F" w:rsidRPr="00FA345D" w:rsidRDefault="006F6FBA" w:rsidP="00FA345D">
      <w:pPr>
        <w:pStyle w:val="ListParagraph"/>
        <w:numPr>
          <w:ilvl w:val="0"/>
          <w:numId w:val="5"/>
        </w:numPr>
        <w:spacing w:after="0" w:line="480" w:lineRule="auto"/>
        <w:rPr>
          <w:b/>
          <w:bCs/>
        </w:rPr>
      </w:pPr>
      <w:r w:rsidRPr="00FA345D">
        <w:rPr>
          <w:b/>
          <w:bCs/>
        </w:rPr>
        <w:lastRenderedPageBreak/>
        <w:t>Introduction</w:t>
      </w:r>
    </w:p>
    <w:p w14:paraId="7BF200F3" w14:textId="3B0192AE" w:rsidR="00E95B4F" w:rsidRPr="00E95B4F" w:rsidRDefault="000C201D" w:rsidP="00E95B4F">
      <w:pPr>
        <w:spacing w:after="0" w:line="480" w:lineRule="auto"/>
        <w:rPr>
          <w:i/>
          <w:iCs/>
        </w:rPr>
      </w:pPr>
      <w:r>
        <w:rPr>
          <w:i/>
          <w:iCs/>
        </w:rPr>
        <w:tab/>
      </w:r>
      <w:r w:rsidR="00E95B4F">
        <w:rPr>
          <w:i/>
          <w:iCs/>
        </w:rPr>
        <w:t>Material of Interest</w:t>
      </w:r>
    </w:p>
    <w:p w14:paraId="69A4095E" w14:textId="75929B0D" w:rsidR="00A83F9F" w:rsidRDefault="00C16F98" w:rsidP="00A83F9F">
      <w:pPr>
        <w:spacing w:after="0" w:line="480" w:lineRule="auto"/>
      </w:pPr>
      <w:r>
        <w:t xml:space="preserve">The skin is the largest organ </w:t>
      </w:r>
      <w:r w:rsidR="00E95B4F">
        <w:t xml:space="preserve">of </w:t>
      </w:r>
      <w:r>
        <w:t>the human body, with a wide range of functions including protection against environmental dangers, temperature regulation, and tactile sensation</w:t>
      </w:r>
      <w:r w:rsidR="00E95B4F">
        <w:t xml:space="preserve">. Three layers of tissue compose the skin- the epidermis (outermost), dermis, and hypodermis. The dermis constitutes approximately 90% of the skin’s thickness and contains the protein collagen, which is responsible for the strength and elasticity of the skin [1]. Modeling the mechanics of human skin is challenging due to </w:t>
      </w:r>
      <w:r w:rsidR="00A83F9F">
        <w:t>its</w:t>
      </w:r>
      <w:r w:rsidR="008150EB">
        <w:t xml:space="preserve"> anisotropic,</w:t>
      </w:r>
      <w:r w:rsidR="00A83F9F">
        <w:t xml:space="preserve"> hyperelasti</w:t>
      </w:r>
      <w:r w:rsidR="008150EB">
        <w:t>c, and</w:t>
      </w:r>
      <w:r w:rsidR="00A83F9F">
        <w:t xml:space="preserve"> viscoelastic nature- still, it is </w:t>
      </w:r>
      <w:r w:rsidR="006B1DD5">
        <w:t>essential</w:t>
      </w:r>
      <w:r w:rsidR="00A83F9F">
        <w:t xml:space="preserve"> for understanding and improving </w:t>
      </w:r>
      <w:r w:rsidR="00EB4DC7">
        <w:t>medical treatment, cosmetics, etc.</w:t>
      </w:r>
      <w:r w:rsidR="00A83F9F">
        <w:t xml:space="preserve"> [2], [3].</w:t>
      </w:r>
    </w:p>
    <w:p w14:paraId="0EB93911" w14:textId="2AFBF8AC" w:rsidR="00300F22" w:rsidRDefault="000C201D" w:rsidP="00A83F9F">
      <w:pPr>
        <w:spacing w:after="0" w:line="480" w:lineRule="auto"/>
        <w:rPr>
          <w:i/>
          <w:iCs/>
        </w:rPr>
      </w:pPr>
      <w:r>
        <w:rPr>
          <w:i/>
          <w:iCs/>
        </w:rPr>
        <w:tab/>
      </w:r>
      <w:r w:rsidR="00300F22">
        <w:rPr>
          <w:i/>
          <w:iCs/>
        </w:rPr>
        <w:t>Material Properties of Interest</w:t>
      </w:r>
    </w:p>
    <w:p w14:paraId="7E5F8165" w14:textId="412DEC17" w:rsidR="000C201D" w:rsidRPr="002861CB" w:rsidRDefault="000C201D" w:rsidP="00A83F9F">
      <w:pPr>
        <w:spacing w:after="0" w:line="480" w:lineRule="auto"/>
      </w:pPr>
      <w:r>
        <w:t xml:space="preserve">Used extensively in </w:t>
      </w:r>
      <w:r w:rsidR="00046CBA">
        <w:t xml:space="preserve">nonlinear </w:t>
      </w:r>
      <w:r>
        <w:t>solid mechanics</w:t>
      </w:r>
      <w:r w:rsidR="00046CBA">
        <w:t xml:space="preserve">, the Ogden model is a hyperelastic material model which can capture the large-deformation behavior of rubbery and biological materials, for example. The model is formulated based on a summed strain energy function </w:t>
      </w:r>
      <w:r w:rsidR="00046CBA">
        <w:rPr>
          <w:i/>
          <w:iCs/>
        </w:rPr>
        <w:t>W,</w:t>
      </w:r>
      <w:r w:rsidR="00046CBA">
        <w:t xml:space="preserve"> consisting of </w:t>
      </w:r>
      <w:r w:rsidR="00D173BD">
        <w:t xml:space="preserve">3 </w:t>
      </w:r>
      <w:r w:rsidR="00046CBA">
        <w:t>principal stretches</w:t>
      </w:r>
      <w:r w:rsidR="00D173BD">
        <w:t xml:space="preserve"> </w:t>
      </w:r>
      <w:r w:rsidR="00D173BD">
        <w:rPr>
          <w:i/>
          <w:iCs/>
        </w:rPr>
        <w:t>λ</w:t>
      </w:r>
      <w:r w:rsidR="00437ED4">
        <w:rPr>
          <w:i/>
          <w:iCs/>
        </w:rPr>
        <w:t>,</w:t>
      </w:r>
      <w:r w:rsidR="00046CBA">
        <w:t xml:space="preserve"> and material constants </w:t>
      </w:r>
      <w:r w:rsidR="00046CBA">
        <w:rPr>
          <w:i/>
          <w:iCs/>
        </w:rPr>
        <w:t>μ</w:t>
      </w:r>
      <w:r w:rsidR="00046CBA">
        <w:rPr>
          <w:i/>
          <w:iCs/>
          <w:vertAlign w:val="subscript"/>
        </w:rPr>
        <w:t>i</w:t>
      </w:r>
      <w:r w:rsidR="00046CBA">
        <w:rPr>
          <w:i/>
          <w:iCs/>
        </w:rPr>
        <w:t xml:space="preserve"> </w:t>
      </w:r>
      <w:r w:rsidR="00046CBA">
        <w:t xml:space="preserve">and </w:t>
      </w:r>
      <w:r w:rsidR="00046CBA">
        <w:rPr>
          <w:i/>
          <w:iCs/>
        </w:rPr>
        <w:t>α</w:t>
      </w:r>
      <w:r w:rsidR="00046CBA">
        <w:rPr>
          <w:i/>
          <w:iCs/>
          <w:vertAlign w:val="subscript"/>
        </w:rPr>
        <w:t>i</w:t>
      </w:r>
      <w:r w:rsidR="002861CB">
        <w:t xml:space="preserve"> which must be determined through experimental testing and curve fitting [4]. More detail will follow on how constitutive stress-strain relationships are derived from the Ogden model.</w:t>
      </w:r>
    </w:p>
    <w:p w14:paraId="73299465" w14:textId="0F2993D9" w:rsidR="00E97E32" w:rsidRPr="00437ED4" w:rsidRDefault="00D173BD" w:rsidP="00A83F9F">
      <w:pPr>
        <w:spacing w:after="0" w:line="480" w:lineRule="auto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W=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den>
              </m:f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e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</m:e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b>
                      </m:sSub>
                    </m:e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sup>
                  </m:sSup>
                  <m:r>
                    <w:rPr>
                      <w:rFonts w:ascii="Cambria Math" w:hAnsi="Cambria Math"/>
                    </w:rPr>
                    <m:t>-3</m:t>
                  </m:r>
                </m:e>
              </m:d>
            </m:e>
          </m:nary>
        </m:oMath>
      </m:oMathPara>
    </w:p>
    <w:p w14:paraId="381EF17C" w14:textId="6671F3DC" w:rsidR="00A83F9F" w:rsidRDefault="002861CB" w:rsidP="00A83F9F">
      <w:pPr>
        <w:spacing w:after="0" w:line="480" w:lineRule="auto"/>
        <w:rPr>
          <w:i/>
          <w:iCs/>
        </w:rPr>
      </w:pPr>
      <w:r>
        <w:rPr>
          <w:i/>
          <w:iCs/>
        </w:rPr>
        <w:tab/>
        <w:t>Two Case Studies</w:t>
      </w:r>
    </w:p>
    <w:p w14:paraId="258878F2" w14:textId="1DFE4A0D" w:rsidR="002861CB" w:rsidRDefault="00E97D18" w:rsidP="00A83F9F">
      <w:pPr>
        <w:spacing w:after="0" w:line="480" w:lineRule="auto"/>
      </w:pPr>
      <w:r>
        <w:t>The first source for this paper is “</w:t>
      </w:r>
      <w:r w:rsidRPr="00E97D18">
        <w:t>Modeling the Mechanical Response of In Vivo Human Skin Under a Rich Set of Deformations</w:t>
      </w:r>
      <w:r>
        <w:t xml:space="preserve">” by </w:t>
      </w:r>
      <w:r w:rsidRPr="00E97D18">
        <w:t>Cormac Flynn, Andrew Taberner</w:t>
      </w:r>
      <w:r>
        <w:t>, and</w:t>
      </w:r>
      <w:r w:rsidRPr="00E97D18">
        <w:t xml:space="preserve"> Poul Nielsen</w:t>
      </w:r>
      <w:r>
        <w:t xml:space="preserve"> (2011, 110 citations on Google Scholar), hereby referred to as </w:t>
      </w:r>
      <w:r w:rsidR="00770AB9">
        <w:t>“</w:t>
      </w:r>
      <w:r>
        <w:t>Source 1</w:t>
      </w:r>
      <w:r w:rsidR="00770AB9">
        <w:t>”</w:t>
      </w:r>
      <w:r>
        <w:t xml:space="preserve"> [5]. Source 2 for this paper is “</w:t>
      </w:r>
      <w:r w:rsidRPr="00E97D18">
        <w:t>Implementation and validation of constitutive relations for human dermis mechanical response</w:t>
      </w:r>
      <w:r>
        <w:t xml:space="preserve">” by Alessandra Aldieri </w:t>
      </w:r>
      <w:r>
        <w:rPr>
          <w:i/>
          <w:iCs/>
        </w:rPr>
        <w:t>et al.</w:t>
      </w:r>
      <w:r>
        <w:t xml:space="preserve"> (2018, 23 citations on Google Scholar) [6]. Both studies examine the </w:t>
      </w:r>
      <w:r>
        <w:lastRenderedPageBreak/>
        <w:t>mechanical properties of human skin</w:t>
      </w:r>
      <w:r w:rsidR="00770AB9">
        <w:t xml:space="preserve"> using physical experimentation and finite element modeling, developing constitutive relations based on</w:t>
      </w:r>
      <w:r>
        <w:t xml:space="preserve"> the Ogden </w:t>
      </w:r>
      <w:r w:rsidR="005C6947">
        <w:t xml:space="preserve">hyperelastic </w:t>
      </w:r>
      <w:r>
        <w:t>mode</w:t>
      </w:r>
      <w:r w:rsidR="00770AB9">
        <w:t>l.</w:t>
      </w:r>
    </w:p>
    <w:p w14:paraId="43857FD8" w14:textId="77777777" w:rsidR="00C8315E" w:rsidRPr="00E97D18" w:rsidRDefault="00C8315E" w:rsidP="00A83F9F">
      <w:pPr>
        <w:spacing w:after="0" w:line="480" w:lineRule="auto"/>
      </w:pPr>
    </w:p>
    <w:p w14:paraId="0FC4110C" w14:textId="6B120671" w:rsidR="0051092D" w:rsidRPr="00FA345D" w:rsidRDefault="00EF52EC" w:rsidP="00FA345D">
      <w:pPr>
        <w:pStyle w:val="ListParagraph"/>
        <w:numPr>
          <w:ilvl w:val="0"/>
          <w:numId w:val="5"/>
        </w:numPr>
        <w:spacing w:after="0" w:line="480" w:lineRule="auto"/>
        <w:rPr>
          <w:b/>
          <w:bCs/>
        </w:rPr>
      </w:pPr>
      <w:r>
        <w:rPr>
          <w:b/>
          <w:bCs/>
        </w:rPr>
        <w:t>Testing P</w:t>
      </w:r>
      <w:r w:rsidR="0051092D" w:rsidRPr="00FA345D">
        <w:rPr>
          <w:b/>
          <w:bCs/>
        </w:rPr>
        <w:t>rocedures</w:t>
      </w:r>
    </w:p>
    <w:p w14:paraId="4225BF8F" w14:textId="4E741D01" w:rsidR="00512C34" w:rsidRDefault="0051092D" w:rsidP="00A83F9F">
      <w:pPr>
        <w:spacing w:after="0" w:line="480" w:lineRule="auto"/>
      </w:pPr>
      <w:r>
        <w:rPr>
          <w:i/>
          <w:iCs/>
        </w:rPr>
        <w:tab/>
        <w:t>Source One</w:t>
      </w:r>
    </w:p>
    <w:p w14:paraId="251B65F0" w14:textId="1064F1CB" w:rsidR="00C8315E" w:rsidRDefault="00951EA1" w:rsidP="00C8315E">
      <w:pPr>
        <w:spacing w:after="0" w:line="480" w:lineRule="auto"/>
      </w:pPr>
      <w:r>
        <w:t>The authors of S</w:t>
      </w:r>
      <w:r w:rsidR="007D31C3">
        <w:t xml:space="preserve">ource 1 emphasize studying the skin </w:t>
      </w:r>
      <w:r w:rsidR="007D31C3">
        <w:rPr>
          <w:i/>
          <w:iCs/>
        </w:rPr>
        <w:t>in vivo</w:t>
      </w:r>
      <w:r w:rsidR="007D31C3">
        <w:t xml:space="preserve"> to capture the effect of pretension, using </w:t>
      </w:r>
      <w:r>
        <w:t xml:space="preserve">their own </w:t>
      </w:r>
      <w:r w:rsidR="00C8315E">
        <w:t xml:space="preserve">data from </w:t>
      </w:r>
      <w:r w:rsidR="00483484">
        <w:t xml:space="preserve">a </w:t>
      </w:r>
      <w:r w:rsidR="007D31C3">
        <w:t xml:space="preserve">micro-robot </w:t>
      </w:r>
      <w:r w:rsidR="00584A22">
        <w:t xml:space="preserve">(Figure 1) </w:t>
      </w:r>
      <w:r w:rsidR="00C8315E">
        <w:t>applied to the upper and lower forearm of 21 live volunteers</w:t>
      </w:r>
      <w:r w:rsidR="003B7E90">
        <w:t xml:space="preserve"> [7].</w:t>
      </w:r>
      <w:r w:rsidR="00B51AA1">
        <w:t xml:space="preserve"> </w:t>
      </w:r>
      <w:r w:rsidR="00483484">
        <w:t xml:space="preserve">The probe of the robot </w:t>
      </w:r>
      <w:r w:rsidR="00D566A3">
        <w:t>was</w:t>
      </w:r>
      <w:r w:rsidR="00483484">
        <w:t xml:space="preserve"> moved along three axes, while an arrangement of force sensors measure</w:t>
      </w:r>
      <w:r w:rsidR="00D566A3">
        <w:t>d</w:t>
      </w:r>
      <w:r w:rsidR="00483484">
        <w:t xml:space="preserve"> the reaction force with an uncertainty of 6 mN. Varying the in-plane angle from 0° to 180°, with an out-of-plane angle of 0°, 45°, or 90°, and displacements ranging from 1.0-1.8 mm, a large dataset of displacement-force data was obtained [7]. This dataset certainly included a wide variety of stress states (uniaxial, biaxial, simple shear, etc.) Several </w:t>
      </w:r>
      <w:r w:rsidR="00FA3ECB">
        <w:t xml:space="preserve">experimental </w:t>
      </w:r>
      <w:r w:rsidR="00483484">
        <w:t xml:space="preserve">measures were taken to ensure accurate </w:t>
      </w:r>
      <w:r w:rsidR="00D566A3">
        <w:t xml:space="preserve">and consistent </w:t>
      </w:r>
      <w:r w:rsidR="00483484">
        <w:t xml:space="preserve">data: testing both the top and bottom of the forearm, testing both the right and left arms, </w:t>
      </w:r>
      <w:r w:rsidR="00E61A5F">
        <w:t>r</w:t>
      </w:r>
      <w:r w:rsidR="00483484">
        <w:t>epetition on different days</w:t>
      </w:r>
      <w:r w:rsidR="00E61A5F">
        <w:t>, and subtracting off energy losses calculated during loading/unloading [7].</w:t>
      </w:r>
    </w:p>
    <w:p w14:paraId="6FF2836F" w14:textId="0647B648" w:rsidR="00483484" w:rsidRDefault="00483484" w:rsidP="00483484">
      <w:pPr>
        <w:spacing w:after="0" w:line="480" w:lineRule="auto"/>
        <w:jc w:val="center"/>
      </w:pPr>
      <w:r>
        <w:rPr>
          <w:noProof/>
        </w:rPr>
        <w:drawing>
          <wp:inline distT="0" distB="0" distL="0" distR="0" wp14:anchorId="08289E42" wp14:editId="4252352E">
            <wp:extent cx="3592612" cy="2575560"/>
            <wp:effectExtent l="0" t="0" r="8255" b="0"/>
            <wp:docPr id="1729072433" name="Picture 1" descr="A close-up of a hand with a red ba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072433" name="Picture 1" descr="A close-up of a hand with a red band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5531" cy="2584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388BA" w14:textId="67C67089" w:rsidR="00584A22" w:rsidRPr="000631D8" w:rsidRDefault="00227949" w:rsidP="00483484">
      <w:pPr>
        <w:spacing w:after="0" w:line="48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Figure 1: Experimental setup of micro-robot used in Source 1 to operate on live skin [5].</w:t>
      </w:r>
    </w:p>
    <w:p w14:paraId="3D68227E" w14:textId="6AA1E5D1" w:rsidR="00C4301F" w:rsidRDefault="00C4301F" w:rsidP="00A83F9F">
      <w:pPr>
        <w:spacing w:after="0" w:line="480" w:lineRule="auto"/>
      </w:pPr>
      <w:r>
        <w:lastRenderedPageBreak/>
        <w:t xml:space="preserve">To </w:t>
      </w:r>
      <w:r w:rsidR="00BF0E30">
        <w:t>verify</w:t>
      </w:r>
      <w:r>
        <w:t xml:space="preserve"> their data, Source 1 created a finite element model</w:t>
      </w:r>
      <w:r w:rsidR="001A2B29">
        <w:t xml:space="preserve"> (FEM)</w:t>
      </w:r>
      <w:r>
        <w:t xml:space="preserve"> in Abaqus</w:t>
      </w:r>
      <w:r w:rsidR="00FB724E">
        <w:t xml:space="preserve"> (Figure 2)</w:t>
      </w:r>
      <w:r>
        <w:t xml:space="preserve">. Using a circular area analogous to the </w:t>
      </w:r>
      <w:r w:rsidR="0019393B">
        <w:t xml:space="preserve">test </w:t>
      </w:r>
      <w:r>
        <w:t>region of skin in Figure 1</w:t>
      </w:r>
      <w:r w:rsidR="0019393B">
        <w:t xml:space="preserve"> and</w:t>
      </w:r>
      <w:r>
        <w:t xml:space="preserve"> shell elements (SR4) of thickness 1.5 mm (typical skin thickness), they ran a variety of simulations</w:t>
      </w:r>
      <w:r w:rsidR="00D41D32">
        <w:t xml:space="preserve"> using the material parameters determined in their live experiments</w:t>
      </w:r>
      <w:r>
        <w:t xml:space="preserve"> [7].</w:t>
      </w:r>
    </w:p>
    <w:p w14:paraId="35C9E387" w14:textId="04A6F8C4" w:rsidR="00FB724E" w:rsidRDefault="00FB724E" w:rsidP="00FB724E">
      <w:pPr>
        <w:spacing w:after="0" w:line="480" w:lineRule="auto"/>
        <w:jc w:val="center"/>
      </w:pPr>
      <w:r>
        <w:rPr>
          <w:noProof/>
        </w:rPr>
        <w:drawing>
          <wp:inline distT="0" distB="0" distL="0" distR="0" wp14:anchorId="14A232C6" wp14:editId="327C8276">
            <wp:extent cx="3413760" cy="2218614"/>
            <wp:effectExtent l="0" t="0" r="0" b="0"/>
            <wp:docPr id="382513303" name="Picture 2" descr="Diagram of a graph showing a probe contact area and directio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513303" name="Picture 2" descr="Diagram of a graph showing a probe contact area and directions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1083" cy="2223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C14B2" w14:textId="3EC1CCDD" w:rsidR="00FB724E" w:rsidRPr="00FB724E" w:rsidRDefault="00FB724E" w:rsidP="00FB724E">
      <w:pPr>
        <w:spacing w:after="0" w:line="48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Figure 2: Abaqus finite element model used in Source 1 [5].</w:t>
      </w:r>
    </w:p>
    <w:p w14:paraId="52B1DDF1" w14:textId="69C3A355" w:rsidR="0051092D" w:rsidRDefault="0006760C" w:rsidP="00A83F9F">
      <w:pPr>
        <w:spacing w:after="0" w:line="480" w:lineRule="auto"/>
        <w:rPr>
          <w:i/>
          <w:iCs/>
        </w:rPr>
      </w:pPr>
      <w:r>
        <w:rPr>
          <w:i/>
          <w:iCs/>
        </w:rPr>
        <w:tab/>
      </w:r>
      <w:r w:rsidR="0051092D">
        <w:rPr>
          <w:i/>
          <w:iCs/>
        </w:rPr>
        <w:t>Source Two</w:t>
      </w:r>
    </w:p>
    <w:p w14:paraId="7B6C82B0" w14:textId="7853CB8E" w:rsidR="000631D8" w:rsidRDefault="00013FBF" w:rsidP="00A83F9F">
      <w:pPr>
        <w:spacing w:after="0" w:line="480" w:lineRule="auto"/>
      </w:pPr>
      <w:r>
        <w:t>In contrast to Source 1, Source 2 did not perform live testing.</w:t>
      </w:r>
      <w:r w:rsidR="00E7078C">
        <w:t xml:space="preserve"> Four specimens</w:t>
      </w:r>
      <w:r>
        <w:t xml:space="preserve"> of tissue were excised from the lower back area of human donor</w:t>
      </w:r>
      <w:r w:rsidR="00D1540C">
        <w:t>s</w:t>
      </w:r>
      <w:r w:rsidR="00AE7841">
        <w:t>, then trimmed</w:t>
      </w:r>
      <w:r w:rsidR="00450640">
        <w:t>,</w:t>
      </w:r>
      <w:r w:rsidR="00AE7841">
        <w:t xml:space="preserve"> chemically treated</w:t>
      </w:r>
      <w:r w:rsidR="00450640">
        <w:t xml:space="preserve">, </w:t>
      </w:r>
      <w:r w:rsidR="00AE7841">
        <w:t>and cleaned for testing. E</w:t>
      </w:r>
      <w:r>
        <w:t>quibiaxial data was collected from a universal testing machine (UT</w:t>
      </w:r>
      <w:r w:rsidR="00D1540C">
        <w:t>M</w:t>
      </w:r>
      <w:r>
        <w:t>)</w:t>
      </w:r>
      <w:r w:rsidR="00CC30F6">
        <w:t xml:space="preserve"> with two load directions</w:t>
      </w:r>
      <w:r>
        <w:t xml:space="preserve"> </w:t>
      </w:r>
      <w:r w:rsidR="00D1540C">
        <w:t xml:space="preserve">as shown in Figure 3 </w:t>
      </w:r>
      <w:r>
        <w:t>[8].</w:t>
      </w:r>
    </w:p>
    <w:p w14:paraId="1418E264" w14:textId="56F91A17" w:rsidR="00D1540C" w:rsidRDefault="00D1540C" w:rsidP="00D1540C">
      <w:pPr>
        <w:spacing w:after="0" w:line="480" w:lineRule="auto"/>
        <w:jc w:val="center"/>
      </w:pPr>
      <w:r>
        <w:rPr>
          <w:noProof/>
        </w:rPr>
        <w:drawing>
          <wp:inline distT="0" distB="0" distL="0" distR="0" wp14:anchorId="2D6AC670" wp14:editId="2081D8DC">
            <wp:extent cx="3558540" cy="2004998"/>
            <wp:effectExtent l="0" t="0" r="3810" b="0"/>
            <wp:docPr id="1818037667" name="Picture 3" descr="A close-up of a piece of spon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037667" name="Picture 3" descr="A close-up of a piece of sponge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3894" cy="2008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0F05C" w14:textId="4061DC8D" w:rsidR="00647F4A" w:rsidRDefault="00D1540C" w:rsidP="00D1540C">
      <w:pPr>
        <w:spacing w:after="0" w:line="48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Figure 3: Biaxial experimental setup of skin sample in UTM used in Source 2 [6].</w:t>
      </w:r>
    </w:p>
    <w:p w14:paraId="77CDBF62" w14:textId="085B15EF" w:rsidR="00BE77C3" w:rsidRDefault="00FB4A60" w:rsidP="00BE77C3">
      <w:pPr>
        <w:spacing w:after="0" w:line="480" w:lineRule="auto"/>
      </w:pPr>
      <w:r>
        <w:lastRenderedPageBreak/>
        <w:t>Similarly to Source 1, Source 2 verified their data through finite element simulation in Abaqus</w:t>
      </w:r>
      <w:r w:rsidR="00C61ED2">
        <w:t xml:space="preserve"> </w:t>
      </w:r>
      <w:r>
        <w:t>(</w:t>
      </w:r>
      <w:r w:rsidR="00C61ED2">
        <w:t xml:space="preserve">plane stress </w:t>
      </w:r>
      <w:r>
        <w:t xml:space="preserve">CPS4-type elements) on a model with the same geometry, loading, boundary conditions, etc. as the physical test </w:t>
      </w:r>
      <w:r w:rsidR="00C61ED2">
        <w:t>[6].</w:t>
      </w:r>
    </w:p>
    <w:p w14:paraId="2A997286" w14:textId="77777777" w:rsidR="00B6114F" w:rsidRPr="00BE77C3" w:rsidRDefault="00B6114F" w:rsidP="00BE77C3">
      <w:pPr>
        <w:spacing w:after="0" w:line="480" w:lineRule="auto"/>
      </w:pPr>
    </w:p>
    <w:p w14:paraId="6D2E6FE5" w14:textId="4A961EE4" w:rsidR="006F6FBA" w:rsidRPr="00EF52EC" w:rsidRDefault="006F6FBA" w:rsidP="00EF52EC">
      <w:pPr>
        <w:pStyle w:val="ListParagraph"/>
        <w:numPr>
          <w:ilvl w:val="0"/>
          <w:numId w:val="5"/>
        </w:numPr>
        <w:spacing w:after="0" w:line="480" w:lineRule="auto"/>
        <w:rPr>
          <w:b/>
          <w:bCs/>
        </w:rPr>
      </w:pPr>
      <w:r w:rsidRPr="00EF52EC">
        <w:rPr>
          <w:b/>
          <w:bCs/>
        </w:rPr>
        <w:t>Constitutive Equations</w:t>
      </w:r>
    </w:p>
    <w:p w14:paraId="1A9D0143" w14:textId="23CCF73A" w:rsidR="00BE77C3" w:rsidRDefault="005C33C8" w:rsidP="00A83F9F">
      <w:pPr>
        <w:spacing w:after="0" w:line="480" w:lineRule="auto"/>
      </w:pPr>
      <w:r>
        <w:t>Both</w:t>
      </w:r>
      <w:r w:rsidR="00BE77C3">
        <w:t xml:space="preserve"> source</w:t>
      </w:r>
      <w:r>
        <w:t>s</w:t>
      </w:r>
      <w:r w:rsidR="00BE77C3">
        <w:t xml:space="preserve"> investigated the suitability of the Ogden model for the </w:t>
      </w:r>
      <w:r w:rsidR="00BE77C3" w:rsidRPr="00BE77C3">
        <w:rPr>
          <w:i/>
          <w:iCs/>
        </w:rPr>
        <w:t>n = 1</w:t>
      </w:r>
      <w:r w:rsidR="00BE77C3">
        <w:t xml:space="preserve"> and </w:t>
      </w:r>
      <w:r w:rsidR="00BE77C3" w:rsidRPr="00BE77C3">
        <w:rPr>
          <w:i/>
          <w:iCs/>
        </w:rPr>
        <w:t>n = 2</w:t>
      </w:r>
      <w:r w:rsidR="00BE77C3">
        <w:t xml:space="preserve"> cases, </w:t>
      </w:r>
      <w:r>
        <w:t>w</w:t>
      </w:r>
      <w:r w:rsidR="00CC30F6">
        <w:t>ith</w:t>
      </w:r>
      <w:r>
        <w:t xml:space="preserve"> Source 1 </w:t>
      </w:r>
      <w:r w:rsidR="00BE77C3">
        <w:t>also factoring in a hydrostatic pressure term (</w:t>
      </w:r>
      <w:r w:rsidR="00BE77C3">
        <w:rPr>
          <w:i/>
          <w:iCs/>
        </w:rPr>
        <w:t>p</w:t>
      </w:r>
      <w:r w:rsidR="00BE77C3">
        <w:t xml:space="preserve"> is the hydrostatic pressure and </w:t>
      </w:r>
      <w:r w:rsidR="00BE77C3">
        <w:rPr>
          <w:i/>
          <w:iCs/>
        </w:rPr>
        <w:t>J</w:t>
      </w:r>
      <w:r w:rsidR="00BE77C3">
        <w:t xml:space="preserve"> is ratio of deformed to undeformed volume)</w:t>
      </w:r>
      <w:r w:rsidR="003A2D6C">
        <w:t xml:space="preserve"> [5].</w:t>
      </w:r>
    </w:p>
    <w:p w14:paraId="60195C99" w14:textId="630BA0AC" w:rsidR="00DD7F24" w:rsidRPr="003A2D6C" w:rsidRDefault="00DD7F24" w:rsidP="00A83F9F">
      <w:pPr>
        <w:spacing w:after="0" w:line="480" w:lineRule="auto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W=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den>
              </m:f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e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</m:e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b>
                      </m:sSub>
                    </m:e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sup>
                  </m:sSup>
                  <m:r>
                    <w:rPr>
                      <w:rFonts w:ascii="Cambria Math" w:hAnsi="Cambria Math"/>
                    </w:rPr>
                    <m:t>-3</m:t>
                  </m:r>
                </m:e>
              </m:d>
            </m:e>
          </m:nary>
          <m:r>
            <w:rPr>
              <w:rFonts w:ascii="Cambria Math" w:hAnsi="Cambria Math"/>
            </w:rPr>
            <m:t>-p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J-1</m:t>
              </m:r>
            </m:e>
          </m:d>
        </m:oMath>
      </m:oMathPara>
    </w:p>
    <w:p w14:paraId="0814BD18" w14:textId="5FD15488" w:rsidR="003A2D6C" w:rsidRDefault="003A2D6C" w:rsidP="00A83F9F">
      <w:pPr>
        <w:spacing w:after="0" w:line="480" w:lineRule="auto"/>
        <w:rPr>
          <w:rFonts w:eastAsiaTheme="minorEastAsia"/>
        </w:rPr>
      </w:pPr>
      <w:r>
        <w:rPr>
          <w:rFonts w:eastAsiaTheme="minorEastAsia"/>
        </w:rPr>
        <w:t xml:space="preserve">For </w:t>
      </w:r>
      <w:r w:rsidR="00443CFB">
        <w:rPr>
          <w:rFonts w:eastAsiaTheme="minorEastAsia"/>
        </w:rPr>
        <w:t>an</w:t>
      </w:r>
      <w:r>
        <w:rPr>
          <w:rFonts w:eastAsiaTheme="minorEastAsia"/>
        </w:rPr>
        <w:t xml:space="preserve"> incompressible</w:t>
      </w:r>
      <w:r w:rsidR="00443CFB">
        <w:rPr>
          <w:rFonts w:eastAsiaTheme="minorEastAsia"/>
        </w:rPr>
        <w:t xml:space="preserve"> (</w:t>
      </w:r>
      <w:r w:rsidR="00443CFB">
        <w:rPr>
          <w:rFonts w:eastAsiaTheme="minorEastAsia"/>
          <w:i/>
          <w:iCs/>
        </w:rPr>
        <w:t>J = 1</w:t>
      </w:r>
      <w:r w:rsidR="00443CFB">
        <w:rPr>
          <w:rFonts w:eastAsiaTheme="minorEastAsia"/>
        </w:rPr>
        <w:t>) material with</w:t>
      </w:r>
      <w:r>
        <w:rPr>
          <w:rFonts w:eastAsiaTheme="minorEastAsia"/>
        </w:rPr>
        <w:t xml:space="preserve"> </w:t>
      </w:r>
      <w:r>
        <w:rPr>
          <w:rFonts w:eastAsiaTheme="minorEastAsia"/>
          <w:i/>
          <w:iCs/>
        </w:rPr>
        <w:t xml:space="preserve">n = </w:t>
      </w:r>
      <w:r w:rsidRPr="005C33C8">
        <w:rPr>
          <w:rFonts w:eastAsiaTheme="minorEastAsia"/>
          <w:i/>
          <w:iCs/>
        </w:rPr>
        <w:t>1</w:t>
      </w:r>
      <w:r w:rsidR="005C33C8">
        <w:rPr>
          <w:rFonts w:eastAsiaTheme="minorEastAsia"/>
          <w:i/>
          <w:iCs/>
        </w:rPr>
        <w:t xml:space="preserve">, </w:t>
      </w:r>
      <w:r w:rsidR="005C33C8">
        <w:rPr>
          <w:rFonts w:eastAsiaTheme="minorEastAsia"/>
        </w:rPr>
        <w:t>the</w:t>
      </w:r>
      <w:r>
        <w:rPr>
          <w:rFonts w:eastAsiaTheme="minorEastAsia"/>
        </w:rPr>
        <w:t xml:space="preserve"> Ogden model simplifies to:</w:t>
      </w:r>
    </w:p>
    <w:p w14:paraId="5D4E3E2F" w14:textId="3BA8F70C" w:rsidR="003A2D6C" w:rsidRPr="00BA4929" w:rsidRDefault="00443CFB" w:rsidP="00A83F9F">
      <w:pPr>
        <w:spacing w:after="0" w:line="480" w:lineRule="auto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W=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sup>
              </m:sSup>
              <m:r>
                <w:rPr>
                  <w:rFonts w:ascii="Cambria Math" w:hAnsi="Cambria Math"/>
                </w:rPr>
                <m:t>-3</m:t>
              </m:r>
            </m:e>
          </m:d>
        </m:oMath>
      </m:oMathPara>
    </w:p>
    <w:p w14:paraId="4B72E1C0" w14:textId="3F43E52E" w:rsidR="00D47CA6" w:rsidRPr="00B6114F" w:rsidRDefault="00732731" w:rsidP="00A83F9F">
      <w:pPr>
        <w:spacing w:after="0" w:line="480" w:lineRule="auto"/>
        <w:rPr>
          <w:rFonts w:eastAsiaTheme="minorEastAsia"/>
        </w:rPr>
      </w:pPr>
      <w:r>
        <w:rPr>
          <w:rFonts w:eastAsiaTheme="minorEastAsia"/>
        </w:rPr>
        <w:t xml:space="preserve">This shows that, for the Ogden </w:t>
      </w:r>
      <w:r>
        <w:rPr>
          <w:rFonts w:eastAsiaTheme="minorEastAsia"/>
          <w:i/>
          <w:iCs/>
        </w:rPr>
        <w:t>n = 1</w:t>
      </w:r>
      <w:r>
        <w:rPr>
          <w:rFonts w:eastAsiaTheme="minorEastAsia"/>
        </w:rPr>
        <w:t xml:space="preserve"> model, only two material constants are needed: </w:t>
      </w:r>
      <w:r>
        <w:rPr>
          <w:rFonts w:eastAsiaTheme="minorEastAsia"/>
          <w:i/>
          <w:iCs/>
        </w:rPr>
        <w:t>μ</w:t>
      </w:r>
      <w:r>
        <w:rPr>
          <w:rFonts w:eastAsiaTheme="minorEastAsia"/>
          <w:i/>
          <w:iCs/>
          <w:vertAlign w:val="subscript"/>
        </w:rPr>
        <w:t>1</w:t>
      </w:r>
      <w:r>
        <w:rPr>
          <w:rFonts w:eastAsiaTheme="minorEastAsia"/>
        </w:rPr>
        <w:t xml:space="preserve"> and </w:t>
      </w:r>
      <w:r>
        <w:rPr>
          <w:rFonts w:eastAsiaTheme="minorEastAsia"/>
          <w:i/>
          <w:iCs/>
        </w:rPr>
        <w:t>α</w:t>
      </w:r>
      <w:r>
        <w:rPr>
          <w:rFonts w:eastAsiaTheme="minorEastAsia"/>
          <w:i/>
          <w:iCs/>
          <w:vertAlign w:val="subscript"/>
        </w:rPr>
        <w:t>1</w:t>
      </w:r>
      <w:r>
        <w:rPr>
          <w:rFonts w:eastAsiaTheme="minorEastAsia"/>
        </w:rPr>
        <w:t xml:space="preserve">. </w:t>
      </w:r>
      <w:r w:rsidR="00BA4929">
        <w:rPr>
          <w:rFonts w:eastAsiaTheme="minorEastAsia"/>
        </w:rPr>
        <w:t>Principal Cauchy stress</w:t>
      </w:r>
      <w:r w:rsidR="00626C5F">
        <w:rPr>
          <w:rFonts w:eastAsiaTheme="minorEastAsia"/>
        </w:rPr>
        <w:t>es</w:t>
      </w:r>
      <w:r w:rsidR="00BA4929">
        <w:rPr>
          <w:rFonts w:eastAsiaTheme="minorEastAsia"/>
        </w:rPr>
        <w:t xml:space="preserve"> </w:t>
      </w:r>
      <w:r w:rsidR="00BA4929">
        <w:rPr>
          <w:rFonts w:eastAsiaTheme="minorEastAsia"/>
          <w:i/>
          <w:iCs/>
        </w:rPr>
        <w:t>σ</w:t>
      </w:r>
      <w:r w:rsidR="00BA4929">
        <w:rPr>
          <w:rFonts w:eastAsiaTheme="minorEastAsia"/>
          <w:i/>
          <w:iCs/>
          <w:vertAlign w:val="subscript"/>
        </w:rPr>
        <w:t>i</w:t>
      </w:r>
      <w:r w:rsidR="00BA4929">
        <w:rPr>
          <w:rFonts w:eastAsiaTheme="minorEastAsia"/>
        </w:rPr>
        <w:t xml:space="preserve"> w</w:t>
      </w:r>
      <w:r w:rsidR="00626C5F">
        <w:rPr>
          <w:rFonts w:eastAsiaTheme="minorEastAsia"/>
        </w:rPr>
        <w:t>ere</w:t>
      </w:r>
      <w:r>
        <w:rPr>
          <w:rFonts w:eastAsiaTheme="minorEastAsia"/>
        </w:rPr>
        <w:t xml:space="preserve"> then</w:t>
      </w:r>
      <w:r w:rsidR="00626C5F">
        <w:rPr>
          <w:rFonts w:eastAsiaTheme="minorEastAsia"/>
        </w:rPr>
        <w:t xml:space="preserve"> </w:t>
      </w:r>
      <w:r w:rsidR="00BA4929">
        <w:rPr>
          <w:rFonts w:eastAsiaTheme="minorEastAsia"/>
        </w:rPr>
        <w:t xml:space="preserve">calculated by differentiating </w:t>
      </w:r>
      <w:r w:rsidR="00BA4929">
        <w:rPr>
          <w:rFonts w:eastAsiaTheme="minorEastAsia"/>
          <w:i/>
          <w:iCs/>
        </w:rPr>
        <w:t>W</w:t>
      </w:r>
      <w:r w:rsidR="00BA4929">
        <w:rPr>
          <w:rFonts w:eastAsiaTheme="minorEastAsia"/>
        </w:rPr>
        <w:t xml:space="preserve"> with respect to </w:t>
      </w:r>
      <w:r w:rsidR="00BA4929">
        <w:rPr>
          <w:rFonts w:eastAsiaTheme="minorEastAsia"/>
          <w:i/>
          <w:iCs/>
        </w:rPr>
        <w:t>λ</w:t>
      </w:r>
      <w:r w:rsidR="00161561">
        <w:rPr>
          <w:rFonts w:eastAsiaTheme="minorEastAsia"/>
          <w:i/>
          <w:iCs/>
          <w:vertAlign w:val="subscript"/>
        </w:rPr>
        <w:t>i</w:t>
      </w:r>
      <w:r w:rsidR="00161561">
        <w:rPr>
          <w:rFonts w:eastAsiaTheme="minorEastAsia"/>
        </w:rPr>
        <w:t xml:space="preserve"> – note that Einstein/summation</w:t>
      </w:r>
      <w:r w:rsidR="00B6114F">
        <w:rPr>
          <w:rFonts w:eastAsiaTheme="minorEastAsia"/>
        </w:rPr>
        <w:t>/index</w:t>
      </w:r>
      <w:r w:rsidR="00161561">
        <w:rPr>
          <w:rFonts w:eastAsiaTheme="minorEastAsia"/>
        </w:rPr>
        <w:t xml:space="preserve"> notation is not implied in the following equation.</w:t>
      </w:r>
      <w:r w:rsidR="00BA4929">
        <w:br/>
      </w: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∂W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-1</m:t>
                  </m:r>
                </m:sup>
              </m:sSup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  <m:sup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sup>
          </m:sSup>
        </m:oMath>
      </m:oMathPara>
    </w:p>
    <w:p w14:paraId="656C0532" w14:textId="129D9C11" w:rsidR="00B6114F" w:rsidRDefault="00B6114F" w:rsidP="00A83F9F">
      <w:pPr>
        <w:spacing w:after="0" w:line="480" w:lineRule="auto"/>
        <w:rPr>
          <w:rFonts w:eastAsiaTheme="minorEastAsia"/>
        </w:rPr>
      </w:pPr>
      <w:r>
        <w:rPr>
          <w:rFonts w:eastAsiaTheme="minorEastAsia"/>
        </w:rPr>
        <w:t xml:space="preserve">In full </w:t>
      </w:r>
      <w:r w:rsidR="007159B6">
        <w:rPr>
          <w:rFonts w:eastAsiaTheme="minorEastAsia"/>
        </w:rPr>
        <w:t xml:space="preserve">3D </w:t>
      </w:r>
      <w:r>
        <w:rPr>
          <w:rFonts w:eastAsiaTheme="minorEastAsia"/>
        </w:rPr>
        <w:t xml:space="preserve">tensor form, where </w:t>
      </w:r>
      <w:r w:rsidRPr="00B6114F">
        <w:rPr>
          <w:rFonts w:eastAsiaTheme="minorEastAsia"/>
          <w:b/>
          <w:bCs/>
          <w:i/>
          <w:iCs/>
        </w:rPr>
        <w:t>F</w:t>
      </w:r>
      <w:r>
        <w:rPr>
          <w:rFonts w:eastAsiaTheme="minorEastAsia"/>
        </w:rPr>
        <w:t xml:space="preserve"> is the deformation gradient tensor and </w:t>
      </w:r>
      <w:r w:rsidRPr="00B6114F">
        <w:rPr>
          <w:rFonts w:eastAsiaTheme="minorEastAsia"/>
          <w:b/>
          <w:bCs/>
          <w:i/>
          <w:iCs/>
        </w:rPr>
        <w:t>C</w:t>
      </w:r>
      <w:r>
        <w:rPr>
          <w:rFonts w:eastAsiaTheme="minorEastAsia"/>
        </w:rPr>
        <w:t xml:space="preserve"> is the right Cauchy-Green tensor </w:t>
      </w:r>
      <w:r w:rsidRPr="00B6114F">
        <w:rPr>
          <w:rFonts w:eastAsiaTheme="minorEastAsia"/>
          <w:b/>
          <w:bCs/>
          <w:i/>
          <w:iCs/>
        </w:rPr>
        <w:t>F</w:t>
      </w:r>
      <w:r>
        <w:rPr>
          <w:rFonts w:eastAsiaTheme="minorEastAsia"/>
          <w:i/>
          <w:iCs/>
          <w:vertAlign w:val="superscript"/>
        </w:rPr>
        <w:t>T</w:t>
      </w:r>
      <w:r>
        <w:rPr>
          <w:rFonts w:eastAsiaTheme="minorEastAsia"/>
          <w:i/>
          <w:iCs/>
        </w:rPr>
        <w:t>∙</w:t>
      </w:r>
      <w:r w:rsidRPr="00B6114F">
        <w:rPr>
          <w:rFonts w:eastAsiaTheme="minorEastAsia"/>
          <w:b/>
          <w:bCs/>
          <w:i/>
          <w:iCs/>
        </w:rPr>
        <w:t>F</w:t>
      </w:r>
      <w:r>
        <w:rPr>
          <w:rFonts w:eastAsiaTheme="minorEastAsia"/>
        </w:rPr>
        <w:t>:</w:t>
      </w:r>
    </w:p>
    <w:p w14:paraId="6D2C7D7E" w14:textId="7BEFD883" w:rsidR="00626C5F" w:rsidRPr="00626C5F" w:rsidRDefault="00B6114F" w:rsidP="00A83F9F">
      <w:pPr>
        <w:spacing w:after="0" w:line="480" w:lineRule="auto"/>
        <w:rPr>
          <w:rFonts w:eastAsiaTheme="minorEastAsia"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σ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  <m:ctrlPr>
                <w:rPr>
                  <w:rFonts w:ascii="Cambria Math" w:hAnsi="Cambria Math"/>
                  <w:b/>
                  <w:bCs/>
                  <w:i/>
                </w:rPr>
              </m:ctrlPr>
            </m:num>
            <m:den>
              <m:r>
                <w:rPr>
                  <w:rFonts w:ascii="Cambria Math" w:hAnsi="Cambria Math"/>
                </w:rPr>
                <m:t>J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F</m:t>
          </m:r>
          <m:r>
            <w:rPr>
              <w:rFonts w:ascii="Cambria Math" w:hAnsi="Cambria Math"/>
            </w:rPr>
            <m:t>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∂W</m:t>
                  </m:r>
                </m:num>
                <m:den>
                  <m:r>
                    <w:rPr>
                      <w:rFonts w:ascii="Cambria Math" w:hAnsi="Cambria Math"/>
                    </w:rPr>
                    <m:t>∂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C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∙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</w:rPr>
                <m:t>T</m:t>
              </m:r>
            </m:sup>
          </m:sSup>
        </m:oMath>
      </m:oMathPara>
    </w:p>
    <w:p w14:paraId="2275F4F0" w14:textId="2FD8BAEB" w:rsidR="00626C5F" w:rsidRPr="005C33C8" w:rsidRDefault="00C325D1" w:rsidP="00A83F9F">
      <w:pPr>
        <w:spacing w:after="0" w:line="480" w:lineRule="auto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where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∂W</m:t>
              </m:r>
            </m:num>
            <m:den>
              <m:r>
                <w:rPr>
                  <w:rFonts w:ascii="Cambria Math" w:eastAsiaTheme="minorEastAsia" w:hAnsi="Cambria Math"/>
                </w:rPr>
                <m:t>∂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C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μ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C</m:t>
              </m:r>
              <m:ctrlPr>
                <w:rPr>
                  <w:rFonts w:ascii="Cambria Math" w:eastAsiaTheme="minorEastAsia" w:hAnsi="Cambria Math"/>
                  <w:b/>
                  <w:bCs/>
                  <w:i/>
                </w:rPr>
              </m:ctrlPr>
            </m:e>
            <m:sup>
              <m:f>
                <m:fPr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-2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</m:sup>
          </m:sSup>
          <m:r>
            <w:rPr>
              <w:rFonts w:ascii="Cambria Math" w:eastAsiaTheme="minorEastAsia" w:hAnsi="Cambria Math"/>
            </w:rPr>
            <m:t xml:space="preserve"> and J=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det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F</m:t>
                  </m:r>
                </m:e>
              </m:d>
            </m:e>
          </m:func>
        </m:oMath>
      </m:oMathPara>
    </w:p>
    <w:p w14:paraId="587777FA" w14:textId="77777777" w:rsidR="005C33C8" w:rsidRPr="00DE664E" w:rsidRDefault="005C33C8" w:rsidP="00A83F9F">
      <w:pPr>
        <w:spacing w:after="0" w:line="480" w:lineRule="auto"/>
        <w:rPr>
          <w:rFonts w:eastAsiaTheme="minorEastAsia"/>
        </w:rPr>
      </w:pPr>
    </w:p>
    <w:p w14:paraId="1289FE65" w14:textId="168150F6" w:rsidR="00DE664E" w:rsidRDefault="00DE664E" w:rsidP="00DE664E">
      <w:pPr>
        <w:pStyle w:val="ListParagraph"/>
        <w:numPr>
          <w:ilvl w:val="0"/>
          <w:numId w:val="5"/>
        </w:numPr>
        <w:spacing w:after="0" w:line="480" w:lineRule="auto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lastRenderedPageBreak/>
        <w:t>Results</w:t>
      </w:r>
    </w:p>
    <w:p w14:paraId="657BD9B6" w14:textId="6F3B30BF" w:rsidR="006B645B" w:rsidRDefault="0086427E" w:rsidP="006B645B">
      <w:pPr>
        <w:spacing w:after="0" w:line="480" w:lineRule="auto"/>
        <w:rPr>
          <w:rFonts w:eastAsiaTheme="minorEastAsia"/>
        </w:rPr>
      </w:pPr>
      <w:r>
        <w:rPr>
          <w:rFonts w:eastAsiaTheme="minorEastAsia"/>
        </w:rPr>
        <w:t>T</w:t>
      </w:r>
      <w:r w:rsidR="00874156">
        <w:rPr>
          <w:rFonts w:eastAsiaTheme="minorEastAsia"/>
        </w:rPr>
        <w:t>able I below summarizes the numerical results of Sources 1 and 2, calculated t</w:t>
      </w:r>
      <w:r>
        <w:rPr>
          <w:rFonts w:eastAsiaTheme="minorEastAsia"/>
        </w:rPr>
        <w:t>hrough</w:t>
      </w:r>
      <w:r w:rsidR="00E91792">
        <w:rPr>
          <w:rFonts w:eastAsiaTheme="minorEastAsia"/>
        </w:rPr>
        <w:t xml:space="preserve"> </w:t>
      </w:r>
      <w:r w:rsidR="00874156">
        <w:rPr>
          <w:rFonts w:eastAsiaTheme="minorEastAsia"/>
        </w:rPr>
        <w:t>curve fitting</w:t>
      </w:r>
      <w:r w:rsidR="00E45EFE">
        <w:rPr>
          <w:rFonts w:eastAsiaTheme="minorEastAsia"/>
        </w:rPr>
        <w:t>/</w:t>
      </w:r>
      <w:r w:rsidR="00E91792">
        <w:rPr>
          <w:rFonts w:eastAsiaTheme="minorEastAsia"/>
        </w:rPr>
        <w:t>optimization</w:t>
      </w:r>
      <w:r w:rsidR="00E45EFE">
        <w:rPr>
          <w:rFonts w:eastAsiaTheme="minorEastAsia"/>
        </w:rPr>
        <w:t xml:space="preserve"> procedures</w:t>
      </w:r>
      <w:r w:rsidR="00335DE9">
        <w:rPr>
          <w:rFonts w:eastAsiaTheme="minorEastAsia"/>
        </w:rPr>
        <w:t xml:space="preserve"> [5], [6].</w:t>
      </w:r>
    </w:p>
    <w:p w14:paraId="785A427D" w14:textId="3BFF8A64" w:rsidR="00091F53" w:rsidRDefault="005B07C1" w:rsidP="00091F53">
      <w:pPr>
        <w:spacing w:after="0" w:line="480" w:lineRule="auto"/>
        <w:jc w:val="center"/>
        <w:rPr>
          <w:rFonts w:eastAsiaTheme="minorEastAsia"/>
        </w:rPr>
      </w:pPr>
      <w:r>
        <w:rPr>
          <w:rFonts w:eastAsiaTheme="minorEastAsia"/>
        </w:rPr>
        <w:t>Table I: Results for Material Constants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45"/>
        <w:gridCol w:w="2045"/>
        <w:gridCol w:w="2046"/>
        <w:gridCol w:w="2046"/>
      </w:tblGrid>
      <w:tr w:rsidR="00C5529C" w14:paraId="6E2E0843" w14:textId="62480702" w:rsidTr="00A3773D">
        <w:trPr>
          <w:trHeight w:val="271"/>
          <w:jc w:val="center"/>
        </w:trPr>
        <w:tc>
          <w:tcPr>
            <w:tcW w:w="2045" w:type="dxa"/>
            <w:vAlign w:val="center"/>
          </w:tcPr>
          <w:p w14:paraId="0A9CFB51" w14:textId="6F3689E2" w:rsidR="00C5529C" w:rsidRPr="006036BA" w:rsidRDefault="00C5529C" w:rsidP="006036BA">
            <w:pPr>
              <w:spacing w:before="240" w:line="480" w:lineRule="auto"/>
              <w:jc w:val="center"/>
              <w:rPr>
                <w:rFonts w:eastAsiaTheme="minorEastAsia"/>
                <w:b/>
                <w:bCs/>
              </w:rPr>
            </w:pPr>
            <w:r w:rsidRPr="006036BA">
              <w:rPr>
                <w:rFonts w:eastAsiaTheme="minorEastAsia"/>
                <w:b/>
                <w:bCs/>
              </w:rPr>
              <w:t>Source</w:t>
            </w:r>
          </w:p>
        </w:tc>
        <w:tc>
          <w:tcPr>
            <w:tcW w:w="2045" w:type="dxa"/>
            <w:vAlign w:val="center"/>
          </w:tcPr>
          <w:p w14:paraId="43621A48" w14:textId="5B4C8986" w:rsidR="00C5529C" w:rsidRPr="006036BA" w:rsidRDefault="00C5529C" w:rsidP="006036BA">
            <w:pPr>
              <w:spacing w:before="240" w:line="480" w:lineRule="auto"/>
              <w:jc w:val="center"/>
              <w:rPr>
                <w:rFonts w:eastAsiaTheme="minorEastAsia"/>
                <w:b/>
                <w:bCs/>
                <w:i/>
                <w:iCs/>
                <w:vertAlign w:val="subscript"/>
              </w:rPr>
            </w:pPr>
            <w:r w:rsidRPr="006036BA">
              <w:rPr>
                <w:rFonts w:eastAsiaTheme="minorEastAsia"/>
                <w:b/>
                <w:bCs/>
                <w:i/>
                <w:iCs/>
              </w:rPr>
              <w:t>μ</w:t>
            </w:r>
            <w:r w:rsidRPr="006036BA">
              <w:rPr>
                <w:rFonts w:eastAsiaTheme="minorEastAsia"/>
                <w:b/>
                <w:bCs/>
                <w:i/>
                <w:iCs/>
                <w:vertAlign w:val="subscript"/>
              </w:rPr>
              <w:t>1</w:t>
            </w:r>
          </w:p>
        </w:tc>
        <w:tc>
          <w:tcPr>
            <w:tcW w:w="2046" w:type="dxa"/>
            <w:vAlign w:val="center"/>
          </w:tcPr>
          <w:p w14:paraId="25971D6A" w14:textId="0809F7F1" w:rsidR="00C5529C" w:rsidRPr="006036BA" w:rsidRDefault="00C5529C" w:rsidP="006036BA">
            <w:pPr>
              <w:spacing w:before="240" w:line="480" w:lineRule="auto"/>
              <w:jc w:val="center"/>
              <w:rPr>
                <w:rFonts w:eastAsiaTheme="minorEastAsia"/>
                <w:b/>
                <w:bCs/>
                <w:i/>
                <w:iCs/>
                <w:vertAlign w:val="subscript"/>
              </w:rPr>
            </w:pPr>
            <w:r w:rsidRPr="006036BA">
              <w:rPr>
                <w:rFonts w:eastAsiaTheme="minorEastAsia"/>
                <w:b/>
                <w:bCs/>
                <w:i/>
                <w:iCs/>
              </w:rPr>
              <w:t>α</w:t>
            </w:r>
            <w:r w:rsidRPr="006036BA">
              <w:rPr>
                <w:rFonts w:eastAsiaTheme="minorEastAsia"/>
                <w:b/>
                <w:bCs/>
                <w:i/>
                <w:iCs/>
                <w:vertAlign w:val="subscript"/>
              </w:rPr>
              <w:t>1</w:t>
            </w:r>
          </w:p>
        </w:tc>
        <w:tc>
          <w:tcPr>
            <w:tcW w:w="2046" w:type="dxa"/>
          </w:tcPr>
          <w:p w14:paraId="0041CE1E" w14:textId="62FF1936" w:rsidR="00C5529C" w:rsidRPr="00C5529C" w:rsidRDefault="00C5529C" w:rsidP="006036BA">
            <w:pPr>
              <w:spacing w:before="240" w:line="480" w:lineRule="auto"/>
              <w:jc w:val="center"/>
              <w:rPr>
                <w:rFonts w:eastAsiaTheme="minorEastAsia"/>
                <w:b/>
                <w:bCs/>
                <w:vertAlign w:val="subscript"/>
              </w:rPr>
            </w:pPr>
            <w:r>
              <w:rPr>
                <w:rFonts w:eastAsiaTheme="minorEastAsia"/>
                <w:b/>
                <w:bCs/>
              </w:rPr>
              <w:t xml:space="preserve">Ratio </w:t>
            </w:r>
            <w:r w:rsidRPr="00C5529C">
              <w:rPr>
                <w:rFonts w:eastAsiaTheme="minorEastAsia"/>
                <w:b/>
                <w:bCs/>
                <w:i/>
                <w:iCs/>
              </w:rPr>
              <w:t>μ</w:t>
            </w:r>
            <w:r w:rsidRPr="00C5529C">
              <w:rPr>
                <w:rFonts w:eastAsiaTheme="minorEastAsia"/>
                <w:b/>
                <w:bCs/>
                <w:i/>
                <w:iCs/>
                <w:vertAlign w:val="subscript"/>
              </w:rPr>
              <w:t>1</w:t>
            </w:r>
            <w:r w:rsidRPr="00C5529C">
              <w:rPr>
                <w:rFonts w:eastAsiaTheme="minorEastAsia"/>
                <w:b/>
                <w:bCs/>
                <w:i/>
                <w:iCs/>
              </w:rPr>
              <w:t>/α</w:t>
            </w:r>
            <w:r w:rsidRPr="00C5529C">
              <w:rPr>
                <w:rFonts w:eastAsiaTheme="minorEastAsia"/>
                <w:b/>
                <w:bCs/>
                <w:i/>
                <w:iCs/>
                <w:vertAlign w:val="subscript"/>
              </w:rPr>
              <w:t>1</w:t>
            </w:r>
          </w:p>
        </w:tc>
      </w:tr>
      <w:tr w:rsidR="00C5529C" w14:paraId="5E4145CE" w14:textId="778D0812" w:rsidTr="00A3773D">
        <w:trPr>
          <w:trHeight w:val="340"/>
          <w:jc w:val="center"/>
        </w:trPr>
        <w:tc>
          <w:tcPr>
            <w:tcW w:w="2045" w:type="dxa"/>
            <w:vAlign w:val="center"/>
          </w:tcPr>
          <w:p w14:paraId="76FFE5A7" w14:textId="36B3E5C1" w:rsidR="00C5529C" w:rsidRDefault="00C5529C" w:rsidP="006036BA">
            <w:pPr>
              <w:spacing w:before="240" w:line="48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 [5]</w:t>
            </w:r>
          </w:p>
        </w:tc>
        <w:tc>
          <w:tcPr>
            <w:tcW w:w="2045" w:type="dxa"/>
            <w:vAlign w:val="center"/>
          </w:tcPr>
          <w:p w14:paraId="521A267C" w14:textId="26E8CE30" w:rsidR="00C5529C" w:rsidRDefault="00C5529C" w:rsidP="006036BA">
            <w:pPr>
              <w:spacing w:before="240" w:line="48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13.14 kPa</w:t>
            </w:r>
          </w:p>
        </w:tc>
        <w:tc>
          <w:tcPr>
            <w:tcW w:w="2046" w:type="dxa"/>
            <w:vAlign w:val="center"/>
          </w:tcPr>
          <w:p w14:paraId="504355C3" w14:textId="434D8F07" w:rsidR="00C5529C" w:rsidRDefault="00C5529C" w:rsidP="006036BA">
            <w:pPr>
              <w:spacing w:before="240" w:line="48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632.62</w:t>
            </w:r>
          </w:p>
        </w:tc>
        <w:tc>
          <w:tcPr>
            <w:tcW w:w="2046" w:type="dxa"/>
          </w:tcPr>
          <w:p w14:paraId="787B9D10" w14:textId="6116114B" w:rsidR="00C5529C" w:rsidRDefault="00C5529C" w:rsidP="006036BA">
            <w:pPr>
              <w:spacing w:before="240" w:line="48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0.02077</w:t>
            </w:r>
            <w:r w:rsidR="00720AC0">
              <w:rPr>
                <w:rFonts w:eastAsiaTheme="minorEastAsia"/>
              </w:rPr>
              <w:t xml:space="preserve"> kPa</w:t>
            </w:r>
          </w:p>
        </w:tc>
      </w:tr>
      <w:tr w:rsidR="00C5529C" w14:paraId="54127B92" w14:textId="39456713" w:rsidTr="00A3773D">
        <w:trPr>
          <w:trHeight w:val="105"/>
          <w:jc w:val="center"/>
        </w:trPr>
        <w:tc>
          <w:tcPr>
            <w:tcW w:w="2045" w:type="dxa"/>
            <w:vAlign w:val="center"/>
          </w:tcPr>
          <w:p w14:paraId="091FC75B" w14:textId="5D242FFD" w:rsidR="00C5529C" w:rsidRDefault="00C5529C" w:rsidP="006036BA">
            <w:pPr>
              <w:spacing w:before="240" w:line="48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 [6]</w:t>
            </w:r>
          </w:p>
        </w:tc>
        <w:tc>
          <w:tcPr>
            <w:tcW w:w="2045" w:type="dxa"/>
            <w:vAlign w:val="center"/>
          </w:tcPr>
          <w:p w14:paraId="232FA788" w14:textId="1937EC49" w:rsidR="00C5529C" w:rsidRDefault="00C5529C" w:rsidP="006036BA">
            <w:pPr>
              <w:spacing w:before="240" w:line="48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47.0 kPa</w:t>
            </w:r>
          </w:p>
        </w:tc>
        <w:tc>
          <w:tcPr>
            <w:tcW w:w="2046" w:type="dxa"/>
            <w:vAlign w:val="center"/>
          </w:tcPr>
          <w:p w14:paraId="763ACC18" w14:textId="197E8979" w:rsidR="00C5529C" w:rsidRDefault="00C5529C" w:rsidP="006036BA">
            <w:pPr>
              <w:spacing w:before="240" w:line="48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210</w:t>
            </w:r>
          </w:p>
        </w:tc>
        <w:tc>
          <w:tcPr>
            <w:tcW w:w="2046" w:type="dxa"/>
          </w:tcPr>
          <w:p w14:paraId="36900BE9" w14:textId="299F4A8F" w:rsidR="00C5529C" w:rsidRDefault="00C5529C" w:rsidP="006036BA">
            <w:pPr>
              <w:spacing w:before="240" w:line="48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0.2</w:t>
            </w:r>
            <w:r w:rsidR="007571DE">
              <w:rPr>
                <w:rFonts w:eastAsiaTheme="minorEastAsia"/>
              </w:rPr>
              <w:t>2</w:t>
            </w:r>
            <w:r>
              <w:rPr>
                <w:rFonts w:eastAsiaTheme="minorEastAsia"/>
              </w:rPr>
              <w:t>4</w:t>
            </w:r>
            <w:r w:rsidR="00720AC0">
              <w:rPr>
                <w:rFonts w:eastAsiaTheme="minorEastAsia"/>
              </w:rPr>
              <w:t xml:space="preserve"> kPa</w:t>
            </w:r>
          </w:p>
        </w:tc>
      </w:tr>
    </w:tbl>
    <w:p w14:paraId="189E70B4" w14:textId="77777777" w:rsidR="00C5529C" w:rsidRDefault="00C5529C" w:rsidP="00091F53">
      <w:pPr>
        <w:spacing w:after="0" w:line="480" w:lineRule="auto"/>
        <w:jc w:val="center"/>
        <w:rPr>
          <w:rFonts w:eastAsiaTheme="minorEastAsia"/>
        </w:rPr>
      </w:pPr>
    </w:p>
    <w:p w14:paraId="6F68C772" w14:textId="1B4181AC" w:rsidR="005C33C8" w:rsidRPr="00394E00" w:rsidRDefault="00C5529C" w:rsidP="00394E00">
      <w:pPr>
        <w:spacing w:after="0" w:line="480" w:lineRule="auto"/>
        <w:rPr>
          <w:rFonts w:eastAsiaTheme="minorEastAsia"/>
        </w:rPr>
      </w:pPr>
      <w:r>
        <w:rPr>
          <w:rFonts w:eastAsiaTheme="minorEastAsia"/>
        </w:rPr>
        <w:t xml:space="preserve">It is important to note that Source 2 (four specimens tested) reported values of </w:t>
      </w:r>
      <w:r>
        <w:rPr>
          <w:rFonts w:eastAsiaTheme="minorEastAsia"/>
          <w:i/>
          <w:iCs/>
        </w:rPr>
        <w:t>μ</w:t>
      </w:r>
      <w:r>
        <w:rPr>
          <w:rFonts w:eastAsiaTheme="minorEastAsia"/>
          <w:i/>
          <w:iCs/>
          <w:vertAlign w:val="subscript"/>
        </w:rPr>
        <w:t>1</w:t>
      </w:r>
      <w:r>
        <w:rPr>
          <w:rFonts w:eastAsiaTheme="minorEastAsia"/>
        </w:rPr>
        <w:t xml:space="preserve"> ranging from 27.4</w:t>
      </w:r>
      <w:r w:rsidR="00A3773D">
        <w:rPr>
          <w:rFonts w:eastAsiaTheme="minorEastAsia"/>
        </w:rPr>
        <w:t xml:space="preserve"> to </w:t>
      </w:r>
      <w:r>
        <w:rPr>
          <w:rFonts w:eastAsiaTheme="minorEastAsia"/>
        </w:rPr>
        <w:t xml:space="preserve">91.4 kPa and </w:t>
      </w:r>
      <w:r>
        <w:rPr>
          <w:rFonts w:eastAsiaTheme="minorEastAsia"/>
          <w:i/>
          <w:iCs/>
        </w:rPr>
        <w:t>α</w:t>
      </w:r>
      <w:r>
        <w:rPr>
          <w:rFonts w:eastAsiaTheme="minorEastAsia"/>
          <w:i/>
          <w:iCs/>
          <w:vertAlign w:val="subscript"/>
        </w:rPr>
        <w:t>1</w:t>
      </w:r>
      <w:r>
        <w:rPr>
          <w:rFonts w:eastAsiaTheme="minorEastAsia"/>
        </w:rPr>
        <w:t xml:space="preserve"> from 146</w:t>
      </w:r>
      <w:r w:rsidR="00A3773D">
        <w:rPr>
          <w:rFonts w:eastAsiaTheme="minorEastAsia"/>
        </w:rPr>
        <w:t xml:space="preserve"> to </w:t>
      </w:r>
      <w:r>
        <w:rPr>
          <w:rFonts w:eastAsiaTheme="minorEastAsia"/>
        </w:rPr>
        <w:t>372</w:t>
      </w:r>
      <w:r w:rsidR="00A3773D">
        <w:rPr>
          <w:rFonts w:eastAsiaTheme="minorEastAsia"/>
        </w:rPr>
        <w:t>, giving ratios of 0.</w:t>
      </w:r>
      <w:r w:rsidR="00EC1613">
        <w:rPr>
          <w:rFonts w:eastAsiaTheme="minorEastAsia"/>
        </w:rPr>
        <w:t xml:space="preserve">188 </w:t>
      </w:r>
      <w:r w:rsidR="00A3773D">
        <w:rPr>
          <w:rFonts w:eastAsiaTheme="minorEastAsia"/>
        </w:rPr>
        <w:t>to 0.246</w:t>
      </w:r>
      <w:r w:rsidR="00EC1613">
        <w:rPr>
          <w:rFonts w:eastAsiaTheme="minorEastAsia"/>
        </w:rPr>
        <w:t xml:space="preserve"> kPa.</w:t>
      </w:r>
    </w:p>
    <w:p w14:paraId="39651EE3" w14:textId="77777777" w:rsidR="005C33C8" w:rsidRPr="00D47CA6" w:rsidRDefault="005C33C8" w:rsidP="00D47CA6">
      <w:pPr>
        <w:pStyle w:val="ListParagraph"/>
        <w:rPr>
          <w:b/>
          <w:bCs/>
        </w:rPr>
      </w:pPr>
    </w:p>
    <w:p w14:paraId="24BBA8F4" w14:textId="01EB6B62" w:rsidR="00D47CA6" w:rsidRDefault="00394E00" w:rsidP="00D47CA6">
      <w:pPr>
        <w:pStyle w:val="ListParagraph"/>
        <w:numPr>
          <w:ilvl w:val="0"/>
          <w:numId w:val="5"/>
        </w:numPr>
        <w:spacing w:after="0" w:line="480" w:lineRule="auto"/>
        <w:rPr>
          <w:b/>
          <w:bCs/>
        </w:rPr>
      </w:pPr>
      <w:r>
        <w:rPr>
          <w:b/>
          <w:bCs/>
        </w:rPr>
        <w:t>Comparison and Discussion</w:t>
      </w:r>
    </w:p>
    <w:p w14:paraId="2419E739" w14:textId="058D15A5" w:rsidR="001A2B29" w:rsidRPr="001A2B29" w:rsidRDefault="001A2B29" w:rsidP="00394E00">
      <w:pPr>
        <w:spacing w:after="0" w:line="480" w:lineRule="auto"/>
      </w:pPr>
      <w:r>
        <w:tab/>
      </w:r>
      <w:r>
        <w:rPr>
          <w:i/>
          <w:iCs/>
        </w:rPr>
        <w:t>Overview</w:t>
      </w:r>
    </w:p>
    <w:p w14:paraId="2A1A847A" w14:textId="45BA270F" w:rsidR="00394E00" w:rsidRDefault="005E474B" w:rsidP="00394E00">
      <w:pPr>
        <w:spacing w:after="0" w:line="480" w:lineRule="auto"/>
      </w:pPr>
      <w:r>
        <w:t xml:space="preserve">First and foremost, the results of the two studies differ greatly, with the ratio of </w:t>
      </w:r>
      <w:r>
        <w:rPr>
          <w:i/>
          <w:iCs/>
        </w:rPr>
        <w:t>μ</w:t>
      </w:r>
      <w:r>
        <w:rPr>
          <w:i/>
          <w:iCs/>
          <w:vertAlign w:val="subscript"/>
        </w:rPr>
        <w:t>1</w:t>
      </w:r>
      <w:r>
        <w:rPr>
          <w:i/>
          <w:iCs/>
        </w:rPr>
        <w:t xml:space="preserve"> </w:t>
      </w:r>
      <w:r>
        <w:t xml:space="preserve">to </w:t>
      </w:r>
      <w:r>
        <w:rPr>
          <w:i/>
          <w:iCs/>
        </w:rPr>
        <w:t>α</w:t>
      </w:r>
      <w:r>
        <w:rPr>
          <w:i/>
          <w:iCs/>
          <w:vertAlign w:val="subscript"/>
        </w:rPr>
        <w:t>1</w:t>
      </w:r>
      <w:r>
        <w:t xml:space="preserve"> for Source 2 being about 9 times greater than for Source 1 (Table I).</w:t>
      </w:r>
      <w:r w:rsidR="00DD5C45">
        <w:t xml:space="preserve"> </w:t>
      </w:r>
      <w:r w:rsidR="001A2B29">
        <w:t>Based on their FEM, Source 1 states that the Ogden model (</w:t>
      </w:r>
      <w:r w:rsidR="001A2B29">
        <w:rPr>
          <w:i/>
          <w:iCs/>
        </w:rPr>
        <w:t>n = 1</w:t>
      </w:r>
      <w:r w:rsidR="001A2B29">
        <w:t>) was accurate at predicting the in-plane response of the live forearm skin, i.e</w:t>
      </w:r>
      <w:r w:rsidR="00DD5C45">
        <w:t xml:space="preserve">. </w:t>
      </w:r>
      <w:r w:rsidR="001A2B29">
        <w:t>plane stress; however, it was quite poor at predicting out-of-plane behavior</w:t>
      </w:r>
      <w:r w:rsidR="00DF52EC">
        <w:t xml:space="preserve">, with </w:t>
      </w:r>
      <w:r w:rsidR="00CF380E">
        <w:t>30.3</w:t>
      </w:r>
      <w:r w:rsidR="00DF52EC">
        <w:t>% error overall</w:t>
      </w:r>
      <w:r w:rsidR="001A2B29">
        <w:t xml:space="preserve"> [5]. Source 2 expresses confidence in its findings, but acknowledges the wide range of results across the</w:t>
      </w:r>
      <w:r w:rsidR="00DD5C45">
        <w:t>ir</w:t>
      </w:r>
      <w:r w:rsidR="001A2B29">
        <w:t xml:space="preserve"> four specimens, further stating a larger experimental dataset is necessary</w:t>
      </w:r>
      <w:r w:rsidR="00DD5C45">
        <w:t xml:space="preserve"> [6].</w:t>
      </w:r>
    </w:p>
    <w:p w14:paraId="639058B3" w14:textId="47C78555" w:rsidR="0023346B" w:rsidRDefault="0023346B" w:rsidP="00394E00">
      <w:pPr>
        <w:spacing w:after="0" w:line="480" w:lineRule="auto"/>
      </w:pPr>
      <w:r>
        <w:tab/>
      </w:r>
      <w:r>
        <w:rPr>
          <w:i/>
          <w:iCs/>
        </w:rPr>
        <w:t>Possible Reasons for Differences</w:t>
      </w:r>
    </w:p>
    <w:p w14:paraId="2498C39F" w14:textId="5B09768C" w:rsidR="0023346B" w:rsidRPr="00DF52EC" w:rsidRDefault="00E42C97" w:rsidP="00394E00">
      <w:pPr>
        <w:spacing w:after="0" w:line="480" w:lineRule="auto"/>
      </w:pPr>
      <w:r>
        <w:t xml:space="preserve">Generally speaking, a high </w:t>
      </w:r>
      <w:r>
        <w:rPr>
          <w:i/>
          <w:iCs/>
        </w:rPr>
        <w:t>μ</w:t>
      </w:r>
      <w:r>
        <w:rPr>
          <w:i/>
          <w:iCs/>
          <w:vertAlign w:val="subscript"/>
        </w:rPr>
        <w:t>1</w:t>
      </w:r>
      <w:r>
        <w:t xml:space="preserve"> value indicates that stress increases proportionally faster than strain, while a high </w:t>
      </w:r>
      <w:r>
        <w:rPr>
          <w:i/>
          <w:iCs/>
        </w:rPr>
        <w:t>α</w:t>
      </w:r>
      <w:r>
        <w:rPr>
          <w:i/>
          <w:iCs/>
          <w:vertAlign w:val="subscript"/>
        </w:rPr>
        <w:t>1</w:t>
      </w:r>
      <w:r>
        <w:t xml:space="preserve"> indicates the opposite. </w:t>
      </w:r>
      <w:r w:rsidR="00DD5C45">
        <w:t>Based on the</w:t>
      </w:r>
      <w:r>
        <w:t>se</w:t>
      </w:r>
      <w:r w:rsidR="00DD5C45">
        <w:t xml:space="preserve"> relationships between stress, strain </w:t>
      </w:r>
      <w:r w:rsidR="00DD5C45">
        <w:lastRenderedPageBreak/>
        <w:t xml:space="preserve">energy density, and material properties </w:t>
      </w:r>
      <w:r w:rsidR="00DD5C45">
        <w:rPr>
          <w:i/>
          <w:iCs/>
        </w:rPr>
        <w:t>μ</w:t>
      </w:r>
      <w:r w:rsidR="00DD5C45">
        <w:rPr>
          <w:i/>
          <w:iCs/>
          <w:vertAlign w:val="subscript"/>
        </w:rPr>
        <w:t>1</w:t>
      </w:r>
      <w:r w:rsidR="00DD5C45">
        <w:t xml:space="preserve"> and </w:t>
      </w:r>
      <w:r w:rsidR="00DD5C45">
        <w:rPr>
          <w:i/>
          <w:iCs/>
        </w:rPr>
        <w:t>α</w:t>
      </w:r>
      <w:r w:rsidR="00DD5C45">
        <w:rPr>
          <w:i/>
          <w:iCs/>
          <w:vertAlign w:val="subscript"/>
        </w:rPr>
        <w:t>1</w:t>
      </w:r>
      <w:r w:rsidR="00DD5C45">
        <w:rPr>
          <w:i/>
          <w:iCs/>
        </w:rPr>
        <w:t>,</w:t>
      </w:r>
      <w:r w:rsidR="00DD5C45">
        <w:t xml:space="preserve"> as well as from the differences in the two papers’ methodologies, </w:t>
      </w:r>
      <w:r>
        <w:t xml:space="preserve">several explanations for the large </w:t>
      </w:r>
      <w:r w:rsidR="002121EF">
        <w:t>numerical d</w:t>
      </w:r>
      <w:r>
        <w:t xml:space="preserve">ifferences </w:t>
      </w:r>
      <w:r w:rsidR="00BD28D5">
        <w:t>can be proposed</w:t>
      </w:r>
      <w:r w:rsidR="00117E34">
        <w:t>:</w:t>
      </w:r>
      <w:r w:rsidR="002121EF">
        <w:t xml:space="preserve"> </w:t>
      </w:r>
      <w:r w:rsidR="00087B91">
        <w:t>A</w:t>
      </w:r>
      <w:r w:rsidR="00117E34">
        <w:t xml:space="preserve">) </w:t>
      </w:r>
      <w:r w:rsidR="002121EF">
        <w:t>The primary discrepancy is that Source 1 tested on live skin, while Source 2 used extracted samples. Live skin</w:t>
      </w:r>
      <w:r w:rsidR="00DF52EC">
        <w:t xml:space="preserve">, attached to the whole body, is much more elastic than dead skin which has been removed from the body, thus explaining the much lower </w:t>
      </w:r>
      <w:r w:rsidR="00DF52EC">
        <w:rPr>
          <w:i/>
          <w:iCs/>
        </w:rPr>
        <w:t>μ</w:t>
      </w:r>
      <w:r w:rsidR="00DF52EC">
        <w:rPr>
          <w:i/>
          <w:iCs/>
          <w:vertAlign w:val="subscript"/>
        </w:rPr>
        <w:t>1</w:t>
      </w:r>
      <w:r w:rsidR="00DF52EC">
        <w:t xml:space="preserve"> value and higher </w:t>
      </w:r>
      <w:r w:rsidR="00DF52EC">
        <w:rPr>
          <w:i/>
          <w:iCs/>
        </w:rPr>
        <w:t>α</w:t>
      </w:r>
      <w:r w:rsidR="00DF52EC">
        <w:rPr>
          <w:i/>
          <w:iCs/>
          <w:vertAlign w:val="subscript"/>
        </w:rPr>
        <w:t>1</w:t>
      </w:r>
      <w:r w:rsidR="00DF52EC">
        <w:t xml:space="preserve"> value. In other words, the live skin experienced significantly less stress</w:t>
      </w:r>
      <w:r w:rsidR="00EF7C44">
        <w:t xml:space="preserve">, compared to dead skin, </w:t>
      </w:r>
      <w:r w:rsidR="00DF52EC">
        <w:t>for the same values of strain</w:t>
      </w:r>
      <w:r w:rsidR="00EF7C44">
        <w:t xml:space="preserve">. </w:t>
      </w:r>
      <w:r w:rsidR="00087B91">
        <w:t>B</w:t>
      </w:r>
      <w:r w:rsidR="00117E34">
        <w:t xml:space="preserve">) </w:t>
      </w:r>
      <w:r w:rsidR="00EA1B82">
        <w:t>The</w:t>
      </w:r>
      <w:r w:rsidR="00EF7C44">
        <w:t xml:space="preserve"> dead skin was treated with chemicals and cleaned before testing, which seems to introduce impurity into the specimen. </w:t>
      </w:r>
      <w:r w:rsidR="00087B91">
        <w:t>C)</w:t>
      </w:r>
      <w:r w:rsidR="00117E34">
        <w:t xml:space="preserve"> </w:t>
      </w:r>
      <w:r w:rsidR="00EF7C44">
        <w:t>From Figure 3, the hook</w:t>
      </w:r>
      <w:r w:rsidR="00EA1B82">
        <w:t>-like</w:t>
      </w:r>
      <w:r w:rsidR="00EF7C44">
        <w:t xml:space="preserve"> setup used </w:t>
      </w:r>
      <w:r w:rsidR="00E3734E">
        <w:t>to attach the sample to</w:t>
      </w:r>
      <w:r w:rsidR="00EF7C44">
        <w:t xml:space="preserve"> the load cells may have introduced discontinuities and/or stress concentrators into the specimen, compared to the</w:t>
      </w:r>
      <w:r w:rsidR="00EA1B82">
        <w:t xml:space="preserve"> more</w:t>
      </w:r>
      <w:r w:rsidR="00EF7C44">
        <w:t xml:space="preserve"> continuous</w:t>
      </w:r>
      <w:r w:rsidR="00EA1B82">
        <w:t xml:space="preserve"> and pure live s</w:t>
      </w:r>
      <w:r w:rsidR="00EF7C44">
        <w:t>pecimen in Figure 1.</w:t>
      </w:r>
      <w:r w:rsidR="00117E34">
        <w:t xml:space="preserve"> </w:t>
      </w:r>
      <w:r w:rsidR="00087B91">
        <w:t>D</w:t>
      </w:r>
      <w:r w:rsidR="00117E34">
        <w:t xml:space="preserve">) Source 1 mentioned the average age of their subjects was 29.4 years, </w:t>
      </w:r>
      <w:r w:rsidR="00EA1B82">
        <w:t xml:space="preserve">with </w:t>
      </w:r>
      <w:r w:rsidR="00117E34">
        <w:t>standard deviation of 8.0 years, but Source 2 does not discuss this potentially confounding variable</w:t>
      </w:r>
      <w:r w:rsidR="002B773B">
        <w:t xml:space="preserve"> [5]</w:t>
      </w:r>
      <w:r w:rsidR="00117E34">
        <w:t>. Older skin may be more hard and less elastic than younger skin.</w:t>
      </w:r>
      <w:r w:rsidR="00087B91">
        <w:t xml:space="preserve"> E) Source 2 only tested four samples</w:t>
      </w:r>
      <w:r w:rsidR="002B773B">
        <w:t xml:space="preserve"> in one loading mode (equibiaxial)</w:t>
      </w:r>
      <w:r w:rsidR="00087B91">
        <w:t xml:space="preserve">, compared to </w:t>
      </w:r>
      <w:r w:rsidR="00260BBD">
        <w:t xml:space="preserve">84 </w:t>
      </w:r>
      <w:r w:rsidR="00087B91">
        <w:t>samples (</w:t>
      </w:r>
      <w:r w:rsidR="00260BBD">
        <w:t xml:space="preserve">21 volunteers, both arms, both sides of each arm, </w:t>
      </w:r>
      <w:r w:rsidR="00087B91">
        <w:t>with multiple repetition</w:t>
      </w:r>
      <w:r w:rsidR="00260BBD">
        <w:t>s for some</w:t>
      </w:r>
      <w:r w:rsidR="002B773B">
        <w:t xml:space="preserve"> subjects</w:t>
      </w:r>
      <w:r w:rsidR="00087B91">
        <w:t xml:space="preserve">) </w:t>
      </w:r>
      <w:r w:rsidR="002B773B">
        <w:t>and a variety of loading modes for</w:t>
      </w:r>
      <w:r w:rsidR="00087B91">
        <w:t xml:space="preserve"> Source 1. Source 2 simply may not have enough data to produce reliable results.</w:t>
      </w:r>
      <w:r w:rsidR="002B773B">
        <w:t xml:space="preserve"> Perhaps reasons A) and E) are most significant for explaining the large differences in the reported numbers, and why Source 1 may be generally a more reliable study.</w:t>
      </w:r>
    </w:p>
    <w:p w14:paraId="7A0C548A" w14:textId="1AFD1D6E" w:rsidR="0023346B" w:rsidRPr="0023346B" w:rsidRDefault="0023346B" w:rsidP="00394E00">
      <w:pPr>
        <w:spacing w:after="0" w:line="480" w:lineRule="auto"/>
        <w:rPr>
          <w:i/>
          <w:iCs/>
        </w:rPr>
      </w:pPr>
      <w:r>
        <w:rPr>
          <w:i/>
          <w:iCs/>
        </w:rPr>
        <w:tab/>
        <w:t>Improvements</w:t>
      </w:r>
    </w:p>
    <w:p w14:paraId="1B809412" w14:textId="37538549" w:rsidR="00394E00" w:rsidRDefault="002938F6" w:rsidP="00394E00">
      <w:pPr>
        <w:spacing w:after="0" w:line="480" w:lineRule="auto"/>
      </w:pPr>
      <w:r>
        <w:t>Despite its experimental soundness, Source 1 does mention a 30.3% error</w:t>
      </w:r>
      <w:r w:rsidR="001451B4">
        <w:t xml:space="preserve"> for out-of-plane or normal mechanical responses [5]. Using the Ogden model for </w:t>
      </w:r>
      <w:r w:rsidR="001451B4">
        <w:rPr>
          <w:i/>
          <w:iCs/>
        </w:rPr>
        <w:t>n = 2</w:t>
      </w:r>
      <w:r w:rsidR="001451B4">
        <w:t xml:space="preserve"> halved this error, likely because the tangential or in-plane response is dominated by the </w:t>
      </w:r>
      <w:r w:rsidR="001451B4">
        <w:rPr>
          <w:i/>
          <w:iCs/>
        </w:rPr>
        <w:t>i = 1</w:t>
      </w:r>
      <w:r w:rsidR="001451B4">
        <w:t xml:space="preserve"> terms, while the </w:t>
      </w:r>
      <w:r w:rsidR="001451B4">
        <w:rPr>
          <w:i/>
          <w:iCs/>
        </w:rPr>
        <w:t>i = 2</w:t>
      </w:r>
      <w:r w:rsidR="001451B4">
        <w:t xml:space="preserve"> terms more accurately capture large out-of-plane deformation</w:t>
      </w:r>
      <w:r w:rsidR="008513F8">
        <w:t xml:space="preserve"> [5]. Despite a slight increase in </w:t>
      </w:r>
      <w:r w:rsidR="008513F8">
        <w:lastRenderedPageBreak/>
        <w:t>complexity, the i</w:t>
      </w:r>
      <w:r w:rsidR="00461390">
        <w:t>mproved</w:t>
      </w:r>
      <w:r w:rsidR="008513F8">
        <w:t xml:space="preserve"> accuracy of the Ogden </w:t>
      </w:r>
      <w:r w:rsidR="008513F8">
        <w:rPr>
          <w:i/>
          <w:iCs/>
        </w:rPr>
        <w:t>n = 2</w:t>
      </w:r>
      <w:r w:rsidR="008513F8">
        <w:t xml:space="preserve"> model gives it preference over the simplified </w:t>
      </w:r>
      <w:r w:rsidR="008513F8">
        <w:rPr>
          <w:i/>
          <w:iCs/>
        </w:rPr>
        <w:t>n = 1</w:t>
      </w:r>
      <w:r w:rsidR="008513F8">
        <w:t xml:space="preserve"> version. As previously mentioned regarding Source 2, a more robust dataset with more skin samples, stress states, etc. is essential</w:t>
      </w:r>
      <w:r w:rsidR="00615501">
        <w:t xml:space="preserve"> [6].</w:t>
      </w:r>
    </w:p>
    <w:p w14:paraId="27FB7DF7" w14:textId="77777777" w:rsidR="008513F8" w:rsidRPr="008513F8" w:rsidRDefault="008513F8" w:rsidP="00394E00">
      <w:pPr>
        <w:spacing w:after="0" w:line="480" w:lineRule="auto"/>
      </w:pPr>
    </w:p>
    <w:p w14:paraId="09B8322F" w14:textId="2BB80740" w:rsidR="00D47CA6" w:rsidRPr="00394E00" w:rsidRDefault="00394E00" w:rsidP="00394E00">
      <w:pPr>
        <w:pStyle w:val="ListParagraph"/>
        <w:numPr>
          <w:ilvl w:val="0"/>
          <w:numId w:val="5"/>
        </w:numPr>
        <w:spacing w:after="0" w:line="480" w:lineRule="auto"/>
        <w:rPr>
          <w:b/>
          <w:bCs/>
        </w:rPr>
      </w:pPr>
      <w:r>
        <w:rPr>
          <w:b/>
          <w:bCs/>
        </w:rPr>
        <w:t>References</w:t>
      </w:r>
    </w:p>
    <w:p w14:paraId="5B099261" w14:textId="3987796C" w:rsidR="00C16F98" w:rsidRDefault="00C16F98" w:rsidP="00C16F98">
      <w:pPr>
        <w:spacing w:after="0" w:line="480" w:lineRule="auto"/>
      </w:pPr>
      <w:r>
        <w:t>[1</w:t>
      </w:r>
      <w:r w:rsidR="00A83F9F">
        <w:t>] Cleveland Clinic, “Skin: Overview and Anatomy</w:t>
      </w:r>
      <w:r w:rsidR="00057EC8">
        <w:t>,</w:t>
      </w:r>
      <w:r w:rsidR="00A83F9F">
        <w:t>”</w:t>
      </w:r>
      <w:r w:rsidR="00057EC8">
        <w:t xml:space="preserve"> </w:t>
      </w:r>
      <w:r w:rsidR="00057EC8" w:rsidRPr="00057EC8">
        <w:rPr>
          <w:i/>
          <w:iCs/>
        </w:rPr>
        <w:t>online website</w:t>
      </w:r>
      <w:r w:rsidR="00210FC4">
        <w:rPr>
          <w:i/>
          <w:iCs/>
        </w:rPr>
        <w:t>,</w:t>
      </w:r>
      <w:r w:rsidR="00057EC8">
        <w:t xml:space="preserve"> Oct</w:t>
      </w:r>
      <w:r w:rsidR="00210FC4">
        <w:t>ober</w:t>
      </w:r>
      <w:r w:rsidR="00057EC8">
        <w:t xml:space="preserve"> 2021.</w:t>
      </w:r>
    </w:p>
    <w:p w14:paraId="56B3E5E8" w14:textId="5A3D6B20" w:rsidR="00057EC8" w:rsidRDefault="00057EC8" w:rsidP="00057EC8">
      <w:pPr>
        <w:spacing w:after="0" w:line="480" w:lineRule="auto"/>
        <w:ind w:left="720" w:hanging="720"/>
      </w:pPr>
      <w:r>
        <w:t>[2] A. Chanda, V. Unnikrishnan, Z. Flynn, K. Lackey, “</w:t>
      </w:r>
      <w:r w:rsidRPr="00057EC8">
        <w:t>Experimental study on tissue phantoms to understand the effect of injury and suturing on human skin mechanical properties</w:t>
      </w:r>
      <w:r>
        <w:t xml:space="preserve">,” </w:t>
      </w:r>
      <w:r>
        <w:rPr>
          <w:i/>
          <w:iCs/>
        </w:rPr>
        <w:t>Proceedings of the Institution of Mechanical Engineers, Part H: Journal of Engineering in Medicine,</w:t>
      </w:r>
      <w:r>
        <w:t xml:space="preserve"> Volume 231, Issue 1, Dec</w:t>
      </w:r>
      <w:r w:rsidR="00210FC4">
        <w:t>ember</w:t>
      </w:r>
      <w:r>
        <w:t xml:space="preserve"> 2016.</w:t>
      </w:r>
    </w:p>
    <w:p w14:paraId="5CF811FF" w14:textId="6091B50E" w:rsidR="00057EC8" w:rsidRDefault="00057EC8" w:rsidP="00057EC8">
      <w:pPr>
        <w:spacing w:after="0" w:line="480" w:lineRule="auto"/>
        <w:ind w:left="720" w:hanging="720"/>
      </w:pPr>
      <w:r>
        <w:t>[3] S. Luebberding, N. Krueger, M. Kerscher, “</w:t>
      </w:r>
      <w:r w:rsidRPr="00057EC8">
        <w:t xml:space="preserve">Mechanical properties of human skin </w:t>
      </w:r>
      <w:r w:rsidRPr="00057EC8">
        <w:rPr>
          <w:i/>
          <w:iCs/>
        </w:rPr>
        <w:t>in vivo</w:t>
      </w:r>
      <w:r w:rsidRPr="00057EC8">
        <w:t>: a comparative evaluation in 300 men and women</w:t>
      </w:r>
      <w:r>
        <w:t xml:space="preserve">,” </w:t>
      </w:r>
      <w:r>
        <w:rPr>
          <w:i/>
          <w:iCs/>
        </w:rPr>
        <w:t>Skin Research &amp; Technology,</w:t>
      </w:r>
      <w:r>
        <w:t xml:space="preserve"> Volume 20, Issue 2, Jul</w:t>
      </w:r>
      <w:r w:rsidR="00210FC4">
        <w:t xml:space="preserve">y </w:t>
      </w:r>
      <w:r>
        <w:t>2013.</w:t>
      </w:r>
    </w:p>
    <w:p w14:paraId="742688A6" w14:textId="43B09795" w:rsidR="00057EC8" w:rsidRDefault="00057EC8" w:rsidP="00300F22">
      <w:pPr>
        <w:spacing w:after="0" w:line="480" w:lineRule="auto"/>
        <w:ind w:left="720" w:hanging="720"/>
      </w:pPr>
      <w:r>
        <w:t>[4]</w:t>
      </w:r>
      <w:r w:rsidR="00300F22">
        <w:t xml:space="preserve"> N. Kim, “Chapter 3: FEA for Nonlinear Elastic Problems,” </w:t>
      </w:r>
      <w:r w:rsidR="00300F22" w:rsidRPr="00300F22">
        <w:rPr>
          <w:i/>
          <w:iCs/>
        </w:rPr>
        <w:t>class notes</w:t>
      </w:r>
      <w:r w:rsidR="00300F22">
        <w:t>, course EGM6352, University of Florida, Spring 2025.</w:t>
      </w:r>
    </w:p>
    <w:p w14:paraId="21609716" w14:textId="07C74707" w:rsidR="00300F22" w:rsidRDefault="00300F22" w:rsidP="00300F22">
      <w:pPr>
        <w:spacing w:after="0" w:line="480" w:lineRule="auto"/>
        <w:ind w:left="720" w:hanging="720"/>
      </w:pPr>
      <w:r>
        <w:t>[5]</w:t>
      </w:r>
      <w:r w:rsidR="00770AB9">
        <w:t xml:space="preserve"> C. Flynn, A. Taberner, P. Nielsen, “</w:t>
      </w:r>
      <w:r w:rsidR="00770AB9" w:rsidRPr="00770AB9">
        <w:t>Modeling the Mechanical Response of In Vivo Human Skin Under a Rich Set of Deformations</w:t>
      </w:r>
      <w:r w:rsidR="00770AB9">
        <w:t xml:space="preserve">,” </w:t>
      </w:r>
      <w:r w:rsidR="00210FC4">
        <w:rPr>
          <w:i/>
          <w:iCs/>
        </w:rPr>
        <w:t>Annals of Biomedical Engineering,</w:t>
      </w:r>
      <w:r w:rsidR="00210FC4">
        <w:t xml:space="preserve"> Volume 39, pages 1935-1946, March 2011.</w:t>
      </w:r>
    </w:p>
    <w:p w14:paraId="2B1B7946" w14:textId="16B547E6" w:rsidR="00210FC4" w:rsidRDefault="00210FC4" w:rsidP="00300F22">
      <w:pPr>
        <w:spacing w:after="0" w:line="480" w:lineRule="auto"/>
        <w:ind w:left="720" w:hanging="720"/>
      </w:pPr>
      <w:r>
        <w:t xml:space="preserve">[6] A. Aldieri </w:t>
      </w:r>
      <w:r>
        <w:rPr>
          <w:i/>
          <w:iCs/>
        </w:rPr>
        <w:t>et al.,</w:t>
      </w:r>
      <w:r>
        <w:t xml:space="preserve"> “</w:t>
      </w:r>
      <w:r w:rsidRPr="00210FC4">
        <w:t>Implementation and validation of constitutive relations for human dermis mechanical response</w:t>
      </w:r>
      <w:r>
        <w:t xml:space="preserve">,” </w:t>
      </w:r>
      <w:r>
        <w:rPr>
          <w:i/>
          <w:iCs/>
        </w:rPr>
        <w:t>Medical &amp; Biological Engineering &amp; Computing,</w:t>
      </w:r>
      <w:r>
        <w:t xml:space="preserve"> Volume 56, pages 2083-2093, May 2018.</w:t>
      </w:r>
    </w:p>
    <w:p w14:paraId="7533BACB" w14:textId="63A6DBDB" w:rsidR="003B7E90" w:rsidRDefault="003B7E90" w:rsidP="00300F22">
      <w:pPr>
        <w:spacing w:after="0" w:line="480" w:lineRule="auto"/>
        <w:ind w:left="720" w:hanging="720"/>
      </w:pPr>
      <w:r>
        <w:lastRenderedPageBreak/>
        <w:t>[7] C. Flynn, A. Taberner, P. Nielsen, “</w:t>
      </w:r>
      <w:r w:rsidRPr="003B7E90">
        <w:t>Measurement of the force–displacement response of in vivo human skin under a rich set of deformations</w:t>
      </w:r>
      <w:r>
        <w:t xml:space="preserve">,” </w:t>
      </w:r>
      <w:r>
        <w:rPr>
          <w:i/>
          <w:iCs/>
        </w:rPr>
        <w:t>Medical Engineering &amp; Physics,</w:t>
      </w:r>
      <w:r>
        <w:t xml:space="preserve"> Volume 33, Issue 5, pages 610-619, June 2011.</w:t>
      </w:r>
    </w:p>
    <w:p w14:paraId="7DD238DB" w14:textId="7880EDF8" w:rsidR="003E5F51" w:rsidRPr="003E5F51" w:rsidRDefault="003E5F51" w:rsidP="00300F22">
      <w:pPr>
        <w:spacing w:after="0" w:line="480" w:lineRule="auto"/>
        <w:ind w:left="720" w:hanging="720"/>
      </w:pPr>
      <w:r>
        <w:t xml:space="preserve">[8] M. Terzini </w:t>
      </w:r>
      <w:r>
        <w:rPr>
          <w:i/>
          <w:iCs/>
        </w:rPr>
        <w:t xml:space="preserve">et al., </w:t>
      </w:r>
      <w:r>
        <w:t>“</w:t>
      </w:r>
      <w:r w:rsidRPr="003E5F51">
        <w:t>EQUI-BIAXIAL TESTS FOR MECHANICAL CHARACTERIZATION OF HUMAN ACELLULAR DERMAL MATRICES THROUGH A CUSTOM-MADE BIAXIAL FIXTURE</w:t>
      </w:r>
      <w:r>
        <w:t xml:space="preserve">,” </w:t>
      </w:r>
      <w:r>
        <w:rPr>
          <w:i/>
          <w:iCs/>
        </w:rPr>
        <w:t xml:space="preserve">WIT Transactions on Engineering Sciences, </w:t>
      </w:r>
      <w:r>
        <w:t>Volume 116, pages 391-400, 2017.</w:t>
      </w:r>
    </w:p>
    <w:sectPr w:rsidR="003E5F51" w:rsidRPr="003E5F51" w:rsidSect="00035669">
      <w:footerReference w:type="default" r:id="rId10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92A6E" w14:textId="77777777" w:rsidR="00C5236B" w:rsidRDefault="00C5236B" w:rsidP="00A17211">
      <w:pPr>
        <w:spacing w:after="0" w:line="240" w:lineRule="auto"/>
      </w:pPr>
      <w:r>
        <w:separator/>
      </w:r>
    </w:p>
  </w:endnote>
  <w:endnote w:type="continuationSeparator" w:id="0">
    <w:p w14:paraId="4C603EA3" w14:textId="77777777" w:rsidR="00C5236B" w:rsidRDefault="00C5236B" w:rsidP="00A17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09C08" w14:textId="17F64D36" w:rsidR="00A17211" w:rsidRDefault="00A17211" w:rsidP="00A17211">
    <w:pPr>
      <w:pStyle w:val="Footer"/>
      <w:tabs>
        <w:tab w:val="left" w:pos="5532"/>
      </w:tabs>
    </w:pPr>
    <w:r>
      <w:tab/>
    </w:r>
    <w:sdt>
      <w:sdtPr>
        <w:id w:val="-182642747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  <w:r>
      <w:rPr>
        <w:noProof/>
      </w:rPr>
      <w:tab/>
    </w:r>
  </w:p>
  <w:p w14:paraId="71C5EBE9" w14:textId="77777777" w:rsidR="00A17211" w:rsidRDefault="00A172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470E4" w14:textId="77777777" w:rsidR="00C5236B" w:rsidRDefault="00C5236B" w:rsidP="00A17211">
      <w:pPr>
        <w:spacing w:after="0" w:line="240" w:lineRule="auto"/>
      </w:pPr>
      <w:r>
        <w:separator/>
      </w:r>
    </w:p>
  </w:footnote>
  <w:footnote w:type="continuationSeparator" w:id="0">
    <w:p w14:paraId="3935A319" w14:textId="77777777" w:rsidR="00C5236B" w:rsidRDefault="00C5236B" w:rsidP="00A172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3E45"/>
    <w:multiLevelType w:val="hybridMultilevel"/>
    <w:tmpl w:val="64603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00DBB"/>
    <w:multiLevelType w:val="hybridMultilevel"/>
    <w:tmpl w:val="6DB67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64440"/>
    <w:multiLevelType w:val="hybridMultilevel"/>
    <w:tmpl w:val="9800D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63FCA"/>
    <w:multiLevelType w:val="hybridMultilevel"/>
    <w:tmpl w:val="AF8C0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52D9B"/>
    <w:multiLevelType w:val="hybridMultilevel"/>
    <w:tmpl w:val="0428B23C"/>
    <w:lvl w:ilvl="0" w:tplc="611CC9B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2218813">
    <w:abstractNumId w:val="1"/>
  </w:num>
  <w:num w:numId="2" w16cid:durableId="901453239">
    <w:abstractNumId w:val="2"/>
  </w:num>
  <w:num w:numId="3" w16cid:durableId="311983218">
    <w:abstractNumId w:val="0"/>
  </w:num>
  <w:num w:numId="4" w16cid:durableId="1336885146">
    <w:abstractNumId w:val="4"/>
  </w:num>
  <w:num w:numId="5" w16cid:durableId="11217257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36B"/>
    <w:rsid w:val="00013FBF"/>
    <w:rsid w:val="00035669"/>
    <w:rsid w:val="00046CBA"/>
    <w:rsid w:val="00057EC8"/>
    <w:rsid w:val="000631D8"/>
    <w:rsid w:val="0006760C"/>
    <w:rsid w:val="00081ED8"/>
    <w:rsid w:val="00087B91"/>
    <w:rsid w:val="00091F53"/>
    <w:rsid w:val="000C201D"/>
    <w:rsid w:val="000D11EC"/>
    <w:rsid w:val="000E67E0"/>
    <w:rsid w:val="000F4DDE"/>
    <w:rsid w:val="00117E34"/>
    <w:rsid w:val="001451B4"/>
    <w:rsid w:val="00161561"/>
    <w:rsid w:val="0019393B"/>
    <w:rsid w:val="00197CDF"/>
    <w:rsid w:val="001A2B29"/>
    <w:rsid w:val="001B4317"/>
    <w:rsid w:val="00210FC4"/>
    <w:rsid w:val="002121EF"/>
    <w:rsid w:val="00227949"/>
    <w:rsid w:val="0023346B"/>
    <w:rsid w:val="00260BBD"/>
    <w:rsid w:val="00266498"/>
    <w:rsid w:val="002861CB"/>
    <w:rsid w:val="002938F6"/>
    <w:rsid w:val="002B773B"/>
    <w:rsid w:val="002F003A"/>
    <w:rsid w:val="00300F22"/>
    <w:rsid w:val="00335DE9"/>
    <w:rsid w:val="0036282B"/>
    <w:rsid w:val="003653C2"/>
    <w:rsid w:val="00380793"/>
    <w:rsid w:val="00393F6F"/>
    <w:rsid w:val="00394E00"/>
    <w:rsid w:val="003A2D6C"/>
    <w:rsid w:val="003B7E90"/>
    <w:rsid w:val="003E39AF"/>
    <w:rsid w:val="003E5F51"/>
    <w:rsid w:val="004012A3"/>
    <w:rsid w:val="00437ED4"/>
    <w:rsid w:val="00443CFB"/>
    <w:rsid w:val="00450640"/>
    <w:rsid w:val="00461390"/>
    <w:rsid w:val="004613B1"/>
    <w:rsid w:val="00483484"/>
    <w:rsid w:val="004B4462"/>
    <w:rsid w:val="0051092D"/>
    <w:rsid w:val="00512C34"/>
    <w:rsid w:val="00554BEA"/>
    <w:rsid w:val="00584A22"/>
    <w:rsid w:val="005B07C1"/>
    <w:rsid w:val="005C33C8"/>
    <w:rsid w:val="005C6947"/>
    <w:rsid w:val="005E474B"/>
    <w:rsid w:val="006036BA"/>
    <w:rsid w:val="00615501"/>
    <w:rsid w:val="00626C5F"/>
    <w:rsid w:val="00627319"/>
    <w:rsid w:val="00647F4A"/>
    <w:rsid w:val="006B1DD5"/>
    <w:rsid w:val="006B645B"/>
    <w:rsid w:val="006F6FBA"/>
    <w:rsid w:val="0070571D"/>
    <w:rsid w:val="007159B6"/>
    <w:rsid w:val="00720AC0"/>
    <w:rsid w:val="00732731"/>
    <w:rsid w:val="007571DE"/>
    <w:rsid w:val="00770AB9"/>
    <w:rsid w:val="007D31C3"/>
    <w:rsid w:val="008150EB"/>
    <w:rsid w:val="008513F8"/>
    <w:rsid w:val="0086427E"/>
    <w:rsid w:val="00874156"/>
    <w:rsid w:val="008D1C47"/>
    <w:rsid w:val="0094384F"/>
    <w:rsid w:val="00951EA1"/>
    <w:rsid w:val="00952CE1"/>
    <w:rsid w:val="009B5116"/>
    <w:rsid w:val="009C003E"/>
    <w:rsid w:val="009F1342"/>
    <w:rsid w:val="00A17211"/>
    <w:rsid w:val="00A2652D"/>
    <w:rsid w:val="00A3773D"/>
    <w:rsid w:val="00A4675C"/>
    <w:rsid w:val="00A83F9F"/>
    <w:rsid w:val="00A90919"/>
    <w:rsid w:val="00AA40C3"/>
    <w:rsid w:val="00AE7841"/>
    <w:rsid w:val="00B51AA1"/>
    <w:rsid w:val="00B54B74"/>
    <w:rsid w:val="00B6114F"/>
    <w:rsid w:val="00BA4929"/>
    <w:rsid w:val="00BD28D5"/>
    <w:rsid w:val="00BD2CAE"/>
    <w:rsid w:val="00BD6A68"/>
    <w:rsid w:val="00BE77C3"/>
    <w:rsid w:val="00BF0E30"/>
    <w:rsid w:val="00C16F98"/>
    <w:rsid w:val="00C325D1"/>
    <w:rsid w:val="00C4301F"/>
    <w:rsid w:val="00C5236B"/>
    <w:rsid w:val="00C5529C"/>
    <w:rsid w:val="00C61ED2"/>
    <w:rsid w:val="00C8315E"/>
    <w:rsid w:val="00CB0BFF"/>
    <w:rsid w:val="00CB1855"/>
    <w:rsid w:val="00CC30F6"/>
    <w:rsid w:val="00CF380E"/>
    <w:rsid w:val="00D0090A"/>
    <w:rsid w:val="00D1540C"/>
    <w:rsid w:val="00D173BD"/>
    <w:rsid w:val="00D41D32"/>
    <w:rsid w:val="00D47CA6"/>
    <w:rsid w:val="00D566A3"/>
    <w:rsid w:val="00D66F87"/>
    <w:rsid w:val="00DD5C45"/>
    <w:rsid w:val="00DD7F24"/>
    <w:rsid w:val="00DE664E"/>
    <w:rsid w:val="00DF52EC"/>
    <w:rsid w:val="00E3734E"/>
    <w:rsid w:val="00E42C97"/>
    <w:rsid w:val="00E4494E"/>
    <w:rsid w:val="00E45EFE"/>
    <w:rsid w:val="00E61A5F"/>
    <w:rsid w:val="00E6611C"/>
    <w:rsid w:val="00E7078C"/>
    <w:rsid w:val="00E91792"/>
    <w:rsid w:val="00E93324"/>
    <w:rsid w:val="00E95B4F"/>
    <w:rsid w:val="00E97D18"/>
    <w:rsid w:val="00E97E32"/>
    <w:rsid w:val="00EA1B82"/>
    <w:rsid w:val="00EB4DC7"/>
    <w:rsid w:val="00EC1613"/>
    <w:rsid w:val="00EF52EC"/>
    <w:rsid w:val="00EF7C44"/>
    <w:rsid w:val="00F7636B"/>
    <w:rsid w:val="00F87252"/>
    <w:rsid w:val="00FA345D"/>
    <w:rsid w:val="00FA3ECB"/>
    <w:rsid w:val="00FB4A60"/>
    <w:rsid w:val="00FB5C85"/>
    <w:rsid w:val="00FB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35A825"/>
  <w15:chartTrackingRefBased/>
  <w15:docId w15:val="{C6107DA6-09F7-4516-BA16-75F9DF87D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63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6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636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636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636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636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636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636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636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3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63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36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636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636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636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636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636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636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63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6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636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636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6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63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63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63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63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63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636B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E97E32"/>
    <w:rPr>
      <w:color w:val="666666"/>
    </w:rPr>
  </w:style>
  <w:style w:type="table" w:styleId="TableGrid">
    <w:name w:val="Table Grid"/>
    <w:basedOn w:val="TableNormal"/>
    <w:uiPriority w:val="39"/>
    <w:rsid w:val="005B0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7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211"/>
  </w:style>
  <w:style w:type="paragraph" w:styleId="Footer">
    <w:name w:val="footer"/>
    <w:basedOn w:val="Normal"/>
    <w:link w:val="FooterChar"/>
    <w:uiPriority w:val="99"/>
    <w:unhideWhenUsed/>
    <w:rsid w:val="00A17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9</Pages>
  <Words>1576</Words>
  <Characters>8986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Sammartino, Jackson C.</dc:creator>
  <cp:keywords/>
  <dc:description/>
  <cp:lastModifiedBy>Sammartino, Jackson C.</cp:lastModifiedBy>
  <cp:revision>151</cp:revision>
  <dcterms:created xsi:type="dcterms:W3CDTF">2025-04-27T20:06:00Z</dcterms:created>
  <dcterms:modified xsi:type="dcterms:W3CDTF">2025-04-28T18:11:00Z</dcterms:modified>
</cp:coreProperties>
</file>